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507190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Ku bands for NR NTN</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7.11.7</w:t>
      </w:r>
      <w:bookmarkStart w:id="4" w:name="_GoBack"/>
      <w:bookmarkEnd w:id="4"/>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7"/>
        <w:rPr>
          <w:lang w:val="en-US"/>
        </w:rPr>
      </w:pPr>
      <w:r>
        <w:rPr>
          <w:lang w:val="en-US"/>
        </w:rPr>
        <w:t>Intro</w:t>
      </w:r>
      <w:r>
        <w:rPr>
          <w:rStyle w:val="78"/>
          <w:lang w:val="en-US"/>
        </w:rPr>
        <w:t>ductio</w:t>
      </w:r>
      <w:r>
        <w:rPr>
          <w:lang w:val="en-US"/>
        </w:rPr>
        <w:t>n</w:t>
      </w:r>
    </w:p>
    <w:p>
      <w:pPr>
        <w:rPr>
          <w:rFonts w:hint="default"/>
          <w:lang w:val="en-US" w:eastAsia="zh-CN"/>
        </w:rPr>
      </w:pPr>
      <w:r>
        <w:rPr>
          <w:rFonts w:hint="eastAsia" w:eastAsia="宋体"/>
          <w:sz w:val="22"/>
          <w:szCs w:val="20"/>
          <w:lang w:val="en-US" w:eastAsia="zh-CN"/>
        </w:rPr>
        <w:t>At RAN #107 meeting the revised WI “</w:t>
      </w:r>
      <w:r>
        <w:rPr>
          <w:rFonts w:hint="eastAsia" w:eastAsia="宋体"/>
          <w:sz w:val="22"/>
          <w:lang w:val="en-US" w:eastAsia="zh-CN"/>
        </w:rPr>
        <w:t>Introduction of Ku bands for NR NTN</w:t>
      </w:r>
      <w:r>
        <w:rPr>
          <w:rFonts w:hint="eastAsia" w:eastAsia="宋体"/>
          <w:sz w:val="22"/>
          <w:szCs w:val="20"/>
          <w:lang w:val="en-US" w:eastAsia="zh-CN"/>
        </w:rPr>
        <w:t xml:space="preserve">” [1] was approved.  In the WID, Ku bands have been introduced for NR NTN with the mobile VSAT UE. </w:t>
      </w:r>
      <w:r>
        <w:rPr>
          <w:rFonts w:hint="eastAsia" w:eastAsia="宋体" w:cs="Times New Roman"/>
          <w:sz w:val="22"/>
          <w:lang w:val="en-US" w:eastAsia="zh-CN"/>
        </w:rPr>
        <w:t>In #114 meeting we will specify the scenarios and general view on the topics</w:t>
      </w:r>
      <w:r>
        <w:rPr>
          <w:rFonts w:hint="eastAsia" w:ascii="Times New Roman" w:hAnsi="Times New Roman" w:eastAsia="宋体" w:cs="Times New Roman"/>
          <w:sz w:val="22"/>
          <w:lang w:val="en-US" w:eastAsia="zh-CN"/>
        </w:rPr>
        <w:t xml:space="preserve">. </w:t>
      </w:r>
      <w:r>
        <w:rPr>
          <w:rFonts w:hint="eastAsia"/>
          <w:lang w:val="en-US" w:eastAsia="zh-CN"/>
        </w:rPr>
        <w:t>In current WID description, RAN4</w:t>
      </w:r>
      <w:r>
        <w:rPr>
          <w:rFonts w:hint="default"/>
          <w:lang w:val="en-US" w:eastAsia="zh-CN"/>
        </w:rPr>
        <w:t>’</w:t>
      </w:r>
      <w:r>
        <w:rPr>
          <w:rFonts w:hint="eastAsia"/>
          <w:lang w:val="en-US" w:eastAsia="zh-CN"/>
        </w:rPr>
        <w:t>s work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bCs/>
                <w:sz w:val="20"/>
                <w:szCs w:val="20"/>
                <w:lang w:val="en-US"/>
              </w:rPr>
            </w:pPr>
            <w:r>
              <w:rPr>
                <w:rFonts w:hint="default" w:ascii="Times New Roman" w:hAnsi="Times New Roman" w:eastAsia="PMingLiU" w:cs="Times New Roman"/>
                <w:iCs/>
                <w:kern w:val="0"/>
                <w:sz w:val="20"/>
                <w:szCs w:val="20"/>
                <w:lang w:val="en-US" w:eastAsia="zh-CN" w:bidi="ar"/>
              </w:rPr>
              <w:t>The objectives are:</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Use the regulation requirements in ITU Regions 1, 2 and 3 to identify relevant adjacent band co-existence scenarios for NTN Ku Band covering the following frequency ranges, considering targeted deployment scenarios:</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For ITU regions 2</w:t>
            </w:r>
            <w:r>
              <w:rPr>
                <w:rFonts w:hint="default" w:ascii="Times New Roman" w:hAnsi="Times New Roman" w:eastAsia="PMingLiU" w:cs="Times New Roman"/>
                <w:sz w:val="20"/>
                <w:szCs w:val="20"/>
                <w:lang w:val="en-US" w:eastAsia="en-US"/>
              </w:rPr>
              <w:t xml:space="preserve"> (The US is in scope for the WI using the current allocation of the Ku band. The band introduction in specification is pending FCC decision)</w:t>
            </w:r>
            <w:r>
              <w:rPr>
                <w:rFonts w:hint="default" w:ascii="Times New Roman" w:hAnsi="Times New Roman" w:eastAsia="PMingLiU" w:cs="Times New Roman"/>
                <w:bCs/>
                <w:sz w:val="20"/>
                <w:szCs w:val="20"/>
                <w:lang w:val="en-US" w:eastAsia="en-US"/>
              </w:rPr>
              <w:t>:</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12.75 - 13.25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 xml:space="preserve">For ITU regions 2 </w:t>
            </w:r>
            <w:r>
              <w:rPr>
                <w:rFonts w:hint="default" w:ascii="Times New Roman" w:hAnsi="Times New Roman" w:eastAsia="PMingLiU" w:cs="Times New Roman"/>
                <w:sz w:val="20"/>
                <w:szCs w:val="20"/>
                <w:lang w:val="en-US" w:eastAsia="en-US"/>
              </w:rPr>
              <w:t>(The US is in scope for the WI using the current allocation of the Ku band. The band introduction in specification is pending FCC decision):</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12.70 - 13.25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Note: Appropriate Tx/Rx separation for uplink downlink pairing will be required.</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Conduct coexistence study. Reuse Ka band coexistence study assumptions as much as possible, with modifications where necessary, e.g. for coexistence scenario, frequency range and subcarrier spacing. Conduct new co-existence studies based on adjacent services.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Specify RF requirements for mobile VSAT served by NGSO and GSO based on existing mobile VSAT type 5 RF requirements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sz w:val="20"/>
                <w:szCs w:val="20"/>
                <w:lang w:val="en-US" w:eastAsia="en-US"/>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29"/>
              <w:keepNext w:val="0"/>
              <w:keepLines w:val="0"/>
              <w:widowControl/>
              <w:numPr>
                <w:ilvl w:val="0"/>
                <w:numId w:val="4"/>
              </w:numPr>
              <w:suppressLineNumbers w:val="0"/>
              <w:overflowPunct/>
              <w:autoSpaceDE/>
              <w:autoSpaceDN w:val="0"/>
              <w:adjustRightInd/>
              <w:spacing w:before="0" w:beforeAutospacing="0" w:after="160" w:afterAutospacing="0" w:line="256" w:lineRule="auto"/>
              <w:ind w:left="720" w:right="0" w:hanging="360"/>
              <w:contextualSpacing/>
              <w:jc w:val="both"/>
              <w:rPr>
                <w:rFonts w:hint="default"/>
                <w:sz w:val="20"/>
                <w:szCs w:val="20"/>
                <w:lang w:val="en-US"/>
              </w:rPr>
            </w:pPr>
            <w:r>
              <w:rPr>
                <w:rFonts w:hint="default"/>
                <w:sz w:val="20"/>
                <w:szCs w:val="20"/>
                <w:lang w:val="en-US"/>
              </w:rPr>
              <w:t>Priority 1: for all ITU regions, define Ku band #1a and #1b for the downlink block and uplink block B. D</w:t>
            </w:r>
            <w:r>
              <w:rPr>
                <w:rFonts w:hint="default"/>
                <w:sz w:val="20"/>
                <w:szCs w:val="20"/>
                <w:lang w:val="en-US" w:eastAsia="zh-TW"/>
              </w:rPr>
              <w:t>efine two sets of bands, one for FR1 numerology and the other for FR2 numerology, including the support of the following:</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yellow"/>
                <w:lang w:val="en-US"/>
              </w:rPr>
            </w:pPr>
            <w:r>
              <w:rPr>
                <w:rFonts w:hint="default"/>
                <w:sz w:val="20"/>
                <w:szCs w:val="20"/>
                <w:highlight w:val="yellow"/>
                <w:lang w:val="en-US"/>
              </w:rPr>
              <w:t>Ku band #1a and #1b as FR1-NTN supporting</w:t>
            </w:r>
            <w:r>
              <w:rPr>
                <w:rFonts w:hint="default"/>
                <w:sz w:val="20"/>
                <w:szCs w:val="20"/>
                <w:highlight w:val="yellow"/>
                <w:lang w:val="en-US" w:eastAsia="zh-TW"/>
              </w:rPr>
              <w:t xml:space="preserve"> </w:t>
            </w:r>
            <w:r>
              <w:rPr>
                <w:rFonts w:hint="default"/>
                <w:sz w:val="20"/>
                <w:szCs w:val="20"/>
                <w:highlight w:val="yellow"/>
                <w:lang w:val="en-US"/>
              </w:rPr>
              <w:t>10 MHz</w:t>
            </w:r>
            <w:r>
              <w:rPr>
                <w:rFonts w:hint="default"/>
                <w:sz w:val="20"/>
                <w:szCs w:val="20"/>
                <w:highlight w:val="yellow"/>
                <w:lang w:val="en-US" w:eastAsia="zh-TW"/>
              </w:rPr>
              <w:t>,</w:t>
            </w:r>
            <w:r>
              <w:rPr>
                <w:rFonts w:hint="default"/>
                <w:sz w:val="20"/>
                <w:szCs w:val="20"/>
                <w:highlight w:val="yellow"/>
                <w:lang w:val="en-US"/>
              </w:rPr>
              <w:t xml:space="preserve"> 20 MHz, 25 MHz, 35 MHz, 50 MHz, 70 MHz and 100 MHz channel bandwidths with 30 kHz subcarrier spacing, and 10MHz, 15MHz, 25MHz, 35MHz and 50MHz channel bandwidths with 15 kHz subcarrier spacing. </w:t>
            </w:r>
          </w:p>
          <w:p>
            <w:pPr>
              <w:pStyle w:val="29"/>
              <w:keepNext w:val="0"/>
              <w:keepLines w:val="0"/>
              <w:widowControl/>
              <w:numPr>
                <w:ilvl w:val="2"/>
                <w:numId w:val="4"/>
              </w:numPr>
              <w:suppressLineNumbers w:val="0"/>
              <w:overflowPunct/>
              <w:autoSpaceDE/>
              <w:autoSpaceDN w:val="0"/>
              <w:adjustRightInd/>
              <w:spacing w:before="0" w:beforeAutospacing="0" w:after="160" w:afterAutospacing="0" w:line="256" w:lineRule="auto"/>
              <w:ind w:left="2160" w:right="0" w:hanging="360"/>
              <w:contextualSpacing/>
              <w:jc w:val="both"/>
              <w:rPr>
                <w:rFonts w:hint="default"/>
                <w:sz w:val="20"/>
                <w:szCs w:val="20"/>
                <w:highlight w:val="yellow"/>
                <w:lang w:val="en-US"/>
              </w:rPr>
            </w:pPr>
            <w:r>
              <w:rPr>
                <w:rFonts w:hint="default"/>
                <w:sz w:val="20"/>
                <w:szCs w:val="20"/>
                <w:highlight w:val="yellow"/>
                <w:lang w:val="en-US"/>
              </w:rPr>
              <w:t>Note: Same subcarrier spacing is assumed for SSB and data channels</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yellow"/>
                <w:lang w:val="en-US"/>
              </w:rPr>
            </w:pPr>
            <w:r>
              <w:rPr>
                <w:rFonts w:hint="default"/>
                <w:sz w:val="20"/>
                <w:szCs w:val="20"/>
                <w:highlight w:val="yellow"/>
                <w:lang w:val="en-US"/>
              </w:rPr>
              <w:t>Ku band #1a and #1b as FR2-NTN supporting 50 MHz, 100 MHz, 200 MHz, 400 MHz (120kHz SCS only) channel bandwidths with 120 kHz subcarrier spacing</w:t>
            </w:r>
            <w:r>
              <w:rPr>
                <w:rFonts w:hint="default"/>
                <w:sz w:val="20"/>
                <w:szCs w:val="20"/>
                <w:highlight w:val="yellow"/>
                <w:lang w:val="en-US" w:eastAsia="zh-TW"/>
              </w:rPr>
              <w:t>.</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yellow"/>
                <w:lang w:val="en-US"/>
              </w:rPr>
            </w:pPr>
            <w:r>
              <w:rPr>
                <w:rFonts w:hint="default"/>
                <w:sz w:val="20"/>
                <w:szCs w:val="20"/>
                <w:highlight w:val="yellow"/>
                <w:lang w:val="en-US" w:eastAsia="zh-TW"/>
              </w:rPr>
              <w:t>Note: Simultaneous operation of FR1-NTN and FR2-NTN numerology is not supported in the UE</w:t>
            </w:r>
          </w:p>
          <w:p>
            <w:pPr>
              <w:pStyle w:val="29"/>
              <w:keepNext w:val="0"/>
              <w:keepLines w:val="0"/>
              <w:widowControl/>
              <w:numPr>
                <w:ilvl w:val="0"/>
                <w:numId w:val="4"/>
              </w:numPr>
              <w:suppressLineNumbers w:val="0"/>
              <w:overflowPunct/>
              <w:autoSpaceDE/>
              <w:autoSpaceDN w:val="0"/>
              <w:adjustRightInd/>
              <w:spacing w:before="0" w:beforeAutospacing="0" w:after="160" w:afterAutospacing="0" w:line="256" w:lineRule="auto"/>
              <w:ind w:left="720" w:right="0" w:hanging="360"/>
              <w:contextualSpacing/>
              <w:jc w:val="both"/>
              <w:rPr>
                <w:rFonts w:hint="default"/>
                <w:sz w:val="20"/>
                <w:szCs w:val="20"/>
                <w:lang w:val="en-US"/>
              </w:rPr>
            </w:pPr>
            <w:r>
              <w:rPr>
                <w:rFonts w:hint="default"/>
                <w:sz w:val="20"/>
                <w:szCs w:val="20"/>
                <w:lang w:val="en-US"/>
              </w:rPr>
              <w:t>Priority 2: for all ITU regions excluding the US in region 2, using the approach in Priority 1, define Ku band #2a and #2b as appropriate for the downlink block and uplink block A.</w:t>
            </w:r>
          </w:p>
          <w:p>
            <w:pPr>
              <w:pStyle w:val="29"/>
              <w:keepNext w:val="0"/>
              <w:keepLines w:val="0"/>
              <w:widowControl/>
              <w:numPr>
                <w:ilvl w:val="0"/>
                <w:numId w:val="4"/>
              </w:numPr>
              <w:suppressLineNumbers w:val="0"/>
              <w:overflowPunct/>
              <w:autoSpaceDE/>
              <w:autoSpaceDN w:val="0"/>
              <w:adjustRightInd/>
              <w:spacing w:before="0" w:beforeAutospacing="0" w:after="0" w:afterAutospacing="0" w:line="256" w:lineRule="auto"/>
              <w:ind w:left="720" w:right="0" w:hanging="360"/>
              <w:contextualSpacing/>
              <w:jc w:val="both"/>
              <w:rPr>
                <w:rFonts w:hint="default"/>
                <w:sz w:val="20"/>
                <w:szCs w:val="20"/>
                <w:highlight w:val="yellow"/>
                <w:lang w:val="en-US"/>
              </w:rPr>
            </w:pPr>
            <w:r>
              <w:rPr>
                <w:rFonts w:hint="default"/>
                <w:sz w:val="20"/>
                <w:szCs w:val="20"/>
                <w:highlight w:val="yellow"/>
                <w:lang w:val="en-US"/>
              </w:rPr>
              <w:t>Specify RRM requirements including timing requirements for mobile VSAT served by NGSO</w:t>
            </w:r>
          </w:p>
          <w:p>
            <w:pPr>
              <w:pStyle w:val="29"/>
              <w:keepNext w:val="0"/>
              <w:keepLines w:val="0"/>
              <w:widowControl/>
              <w:numPr>
                <w:ilvl w:val="1"/>
                <w:numId w:val="4"/>
              </w:numPr>
              <w:suppressLineNumbers w:val="0"/>
              <w:overflowPunct/>
              <w:autoSpaceDE/>
              <w:autoSpaceDN w:val="0"/>
              <w:adjustRightInd/>
              <w:spacing w:before="0" w:beforeAutospacing="0" w:after="0" w:afterAutospacing="0" w:line="256" w:lineRule="auto"/>
              <w:ind w:left="1440" w:right="0" w:hanging="360"/>
              <w:contextualSpacing/>
              <w:jc w:val="both"/>
              <w:rPr>
                <w:rFonts w:hint="default"/>
                <w:sz w:val="20"/>
                <w:szCs w:val="20"/>
                <w:highlight w:val="yellow"/>
                <w:lang w:val="en-US"/>
              </w:rPr>
            </w:pPr>
            <w:r>
              <w:rPr>
                <w:rFonts w:hint="default"/>
                <w:sz w:val="20"/>
                <w:szCs w:val="20"/>
                <w:highlight w:val="yellow"/>
                <w:lang w:val="en-US"/>
              </w:rPr>
              <w:t>NOTE:</w:t>
            </w:r>
            <w:r>
              <w:rPr>
                <w:rFonts w:hint="default"/>
                <w:sz w:val="20"/>
                <w:szCs w:val="20"/>
                <w:highlight w:val="yellow"/>
                <w:lang w:val="en-US"/>
              </w:rPr>
              <w:tab/>
            </w:r>
            <w:r>
              <w:rPr>
                <w:rFonts w:hint="default"/>
                <w:sz w:val="20"/>
                <w:szCs w:val="20"/>
                <w:highlight w:val="yellow"/>
                <w:lang w:val="en-US"/>
              </w:rPr>
              <w:t>RRM requirements are defined for VSAT supporting FR1-NTN operation only, or for FR2-NTN operation only.</w:t>
            </w:r>
          </w:p>
          <w:p>
            <w:pPr>
              <w:keepNext w:val="0"/>
              <w:keepLines w:val="0"/>
              <w:widowControl/>
              <w:numPr>
                <w:ilvl w:val="0"/>
                <w:numId w:val="0"/>
              </w:numPr>
              <w:suppressLineNumbers w:val="0"/>
              <w:spacing w:before="0" w:beforeAutospacing="0" w:after="0" w:afterAutospacing="0"/>
              <w:ind w:left="360" w:leftChars="0" w:right="0"/>
              <w:rPr>
                <w:rFonts w:hint="default" w:ascii="Times New Roman" w:hAnsi="Times New Roman" w:eastAsia="宋体" w:cs="Times New Roman"/>
                <w:kern w:val="0"/>
                <w:sz w:val="20"/>
                <w:szCs w:val="20"/>
              </w:rPr>
            </w:pPr>
          </w:p>
        </w:tc>
      </w:tr>
    </w:tbl>
    <w:p>
      <w:pPr>
        <w:pStyle w:val="77"/>
        <w:rPr>
          <w:rFonts w:hint="eastAsia"/>
          <w:lang w:val="en-US" w:eastAsia="zh-CN"/>
        </w:rPr>
      </w:pPr>
      <w:r>
        <w:rPr>
          <w:lang w:val="en-US"/>
        </w:rPr>
        <w:t>Discussion</w:t>
      </w:r>
    </w:p>
    <w:p>
      <w:pPr>
        <w:jc w:val="both"/>
        <w:rPr>
          <w:rFonts w:hint="default"/>
          <w:lang w:val="en-US" w:eastAsia="zh-CN"/>
        </w:rPr>
      </w:pPr>
      <w:r>
        <w:rPr>
          <w:rFonts w:hint="eastAsia"/>
          <w:lang w:val="en-US" w:eastAsia="zh-CN"/>
        </w:rPr>
        <w:t xml:space="preserve">In the last meeting, RAN4 only discussed the general scope for NR NTN on Ku bands and the uplink transmit timing requirements. In this paper, we will provide the other potential RRM requirements for NR NTN on Ku bands. Furthermore, considering the BDaT session also had the agreements on SCS for downlink SSB signals and uplink data transmission, we will supplement the concrete requirements like uplink timing requirements etc. </w:t>
      </w:r>
    </w:p>
    <w:p>
      <w:pPr>
        <w:pStyle w:val="79"/>
        <w:numPr>
          <w:ilvl w:val="1"/>
          <w:numId w:val="0"/>
        </w:numPr>
        <w:bidi w:val="0"/>
        <w:rPr>
          <w:rFonts w:hint="eastAsia"/>
          <w:lang w:val="en-US" w:eastAsia="zh-CN"/>
        </w:rPr>
      </w:pPr>
      <w:r>
        <w:rPr>
          <w:rFonts w:hint="eastAsia"/>
          <w:lang w:val="en-US" w:eastAsia="zh-CN"/>
        </w:rPr>
        <w:t>2.1 RRM scope for NR NTN on Ku bands</w:t>
      </w:r>
    </w:p>
    <w:p>
      <w:pPr>
        <w:bidi w:val="0"/>
        <w:rPr>
          <w:rFonts w:hint="default"/>
          <w:lang w:val="en-US" w:eastAsia="zh-CN"/>
        </w:rPr>
      </w:pPr>
      <w:r>
        <w:rPr>
          <w:rFonts w:hint="eastAsia"/>
          <w:lang w:val="en-US" w:eastAsia="zh-CN"/>
        </w:rPr>
        <w:t>In previous meetings, we specified the general scope for NR NTN on Ku bands including SCS in FR1 and FR2 NTN numerology. In this section, we would like to analyze other issues on general aspect.</w:t>
      </w:r>
    </w:p>
    <w:p>
      <w:pPr>
        <w:pStyle w:val="4"/>
        <w:bidi w:val="0"/>
        <w:rPr>
          <w:rFonts w:hint="eastAsia"/>
          <w:lang w:val="en-US" w:eastAsia="zh-CN"/>
        </w:rPr>
      </w:pPr>
      <w:r>
        <w:rPr>
          <w:rFonts w:hint="eastAsia"/>
          <w:lang w:val="en-US" w:eastAsia="zh-CN"/>
        </w:rPr>
        <w:t>Issue 1-2: Applicability update (section 3.6.12)</w:t>
      </w:r>
    </w:p>
    <w:p>
      <w:pPr>
        <w:rPr>
          <w:rFonts w:hint="eastAsia"/>
          <w:lang w:val="en-US" w:eastAsia="zh-CN"/>
        </w:rPr>
      </w:pPr>
      <w:r>
        <w:rPr>
          <w:rFonts w:hint="eastAsia"/>
          <w:lang w:val="en-US" w:eastAsia="zh-CN"/>
        </w:rPr>
        <w:t>The way forward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line="360" w:lineRule="auto"/>
              <w:ind w:left="0" w:right="0"/>
              <w:rPr>
                <w:rFonts w:hint="default"/>
                <w:sz w:val="20"/>
                <w:szCs w:val="20"/>
                <w:vertAlign w:val="baseline"/>
                <w:lang w:val="en-US" w:eastAsia="zh-CN"/>
              </w:rPr>
            </w:pPr>
            <w:r>
              <w:rPr>
                <w:rFonts w:hint="default"/>
                <w:color w:val="000000"/>
                <w:sz w:val="21"/>
                <w:szCs w:val="22"/>
              </w:rPr>
              <w:t>Option 1:</w:t>
            </w:r>
            <w:r>
              <w:rPr>
                <w:rFonts w:hint="default"/>
                <w:bCs/>
                <w:color w:val="000000"/>
                <w:sz w:val="21"/>
                <w:szCs w:val="22"/>
              </w:rPr>
              <w:t xml:space="preserve"> T</w:t>
            </w:r>
            <w:r>
              <w:rPr>
                <w:rFonts w:hint="eastAsia"/>
                <w:bCs/>
                <w:color w:val="000000"/>
                <w:sz w:val="21"/>
                <w:szCs w:val="22"/>
              </w:rPr>
              <w:t xml:space="preserve">he requirements for FR2-NTN/NTN band above 10GHz except for timing </w:t>
            </w:r>
            <w:r>
              <w:rPr>
                <w:rFonts w:hint="default"/>
                <w:bCs/>
                <w:color w:val="000000"/>
                <w:sz w:val="21"/>
                <w:szCs w:val="22"/>
              </w:rPr>
              <w:t>requirement</w:t>
            </w:r>
            <w:r>
              <w:rPr>
                <w:rFonts w:hint="eastAsia"/>
                <w:bCs/>
                <w:color w:val="000000"/>
                <w:sz w:val="21"/>
                <w:szCs w:val="22"/>
              </w:rPr>
              <w:t>s in Clause 7 are applicable to Ku-band NTN with FR1-NTN and FR2-NTN numerologies.</w:t>
            </w:r>
          </w:p>
        </w:tc>
      </w:tr>
    </w:tbl>
    <w:p>
      <w:pPr>
        <w:spacing w:beforeLines="50"/>
        <w:rPr>
          <w:rFonts w:hint="eastAsia"/>
          <w:lang w:val="en-US" w:eastAsia="zh-CN"/>
        </w:rPr>
      </w:pPr>
      <w:r>
        <w:rPr>
          <w:rFonts w:hint="eastAsia"/>
          <w:lang w:val="en-US" w:eastAsia="zh-CN"/>
        </w:rPr>
        <w:t>The section 3.6.12 in TS 38.133 can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Autospacing="0"/>
              <w:ind w:left="0" w:right="0"/>
              <w:rPr>
                <w:rFonts w:hint="default"/>
                <w:sz w:val="20"/>
                <w:szCs w:val="20"/>
                <w:lang w:val="en-US"/>
              </w:rPr>
            </w:pPr>
            <w:r>
              <w:rPr>
                <w:rFonts w:hint="default"/>
                <w:sz w:val="20"/>
                <w:szCs w:val="20"/>
                <w:lang w:val="en-US" w:eastAsia="ko"/>
              </w:rPr>
              <w:t>3.6.12</w:t>
            </w:r>
            <w:r>
              <w:rPr>
                <w:rFonts w:hint="default"/>
                <w:sz w:val="20"/>
                <w:szCs w:val="20"/>
                <w:lang w:val="en-US" w:eastAsia="ko"/>
              </w:rPr>
              <w:tab/>
            </w:r>
            <w:r>
              <w:rPr>
                <w:rFonts w:hint="default"/>
                <w:sz w:val="20"/>
                <w:szCs w:val="20"/>
                <w:lang w:val="en-US"/>
              </w:rPr>
              <w:t>Applicability of requirements for Satellite Access</w:t>
            </w:r>
          </w:p>
          <w:p>
            <w:pPr>
              <w:keepNext w:val="0"/>
              <w:keepLines w:val="0"/>
              <w:widowControl/>
              <w:suppressLineNumbers w:val="0"/>
              <w:overflowPunct w:val="0"/>
              <w:autoSpaceDE w:val="0"/>
              <w:autoSpaceDN w:val="0"/>
              <w:adjustRightInd w:val="0"/>
              <w:spacing w:before="0" w:beforeAutospacing="0" w:afterAutospacing="0"/>
              <w:ind w:left="0" w:right="0"/>
              <w:rPr>
                <w:rFonts w:hint="default"/>
                <w:sz w:val="20"/>
                <w:szCs w:val="20"/>
                <w:vertAlign w:val="baseline"/>
                <w:lang w:val="en-US" w:eastAsia="zh-CN"/>
              </w:rPr>
            </w:pPr>
            <w:r>
              <w:rPr>
                <w:rFonts w:hint="default" w:ascii="Times New Roman" w:hAnsi="Times New Roman" w:eastAsia="Times New Roman" w:cs="Times New Roman"/>
                <w:kern w:val="0"/>
                <w:sz w:val="20"/>
                <w:szCs w:val="20"/>
                <w:lang w:val="en-US" w:eastAsia="zh-CN" w:bidi="ar"/>
              </w:rPr>
              <w:t xml:space="preserve">The requirements for Satellite Access defined in clauses with suffix ‘C’ apply provided that UE indicates </w:t>
            </w:r>
            <w:r>
              <w:rPr>
                <w:rFonts w:hint="default" w:ascii="Times New Roman" w:hAnsi="Times New Roman" w:eastAsia="Times New Roman" w:cs="Times New Roman"/>
                <w:i/>
                <w:iCs w:val="0"/>
                <w:kern w:val="0"/>
                <w:sz w:val="20"/>
                <w:szCs w:val="20"/>
                <w:lang w:val="en-US" w:eastAsia="zh-CN" w:bidi="ar"/>
              </w:rPr>
              <w:t>nonTerrestrialNetwork</w:t>
            </w:r>
            <w:r>
              <w:rPr>
                <w:rFonts w:hint="default" w:ascii="Times New Roman" w:hAnsi="Times New Roman" w:eastAsia="Times New Roman" w:cs="Times New Roman"/>
                <w:kern w:val="0"/>
                <w:sz w:val="20"/>
                <w:szCs w:val="20"/>
                <w:lang w:val="en-US" w:eastAsia="zh-CN" w:bidi="ar"/>
              </w:rPr>
              <w:t xml:space="preserve"> and is accessing a cell served by a</w:t>
            </w:r>
            <w:r>
              <w:rPr>
                <w:rFonts w:hint="default" w:ascii="Times New Roman" w:hAnsi="Times New Roman" w:eastAsia="Times New Roman" w:cs="Times New Roman"/>
                <w:kern w:val="0"/>
                <w:sz w:val="20"/>
                <w:szCs w:val="24"/>
                <w:lang w:val="en-US" w:eastAsia="zh-CN" w:bidi="ar"/>
              </w:rPr>
              <w:t xml:space="preserve"> Satellite Access Node (SAN)</w:t>
            </w:r>
            <w:r>
              <w:rPr>
                <w:rFonts w:hint="default" w:ascii="Times New Roman" w:hAnsi="Times New Roman" w:eastAsia="Times New Roman" w:cs="Times New Roman"/>
                <w:kern w:val="0"/>
                <w:sz w:val="20"/>
                <w:szCs w:val="20"/>
                <w:lang w:val="en-US" w:eastAsia="zh-CN" w:bidi="ar"/>
              </w:rPr>
              <w:t>. The requirements apply provided that serving and all neighbour satellites on the same layer are of same satellite type (LEO or GEO).</w:t>
            </w:r>
          </w:p>
        </w:tc>
      </w:tr>
    </w:tbl>
    <w:p>
      <w:pPr>
        <w:spacing w:beforeLines="50"/>
        <w:jc w:val="both"/>
        <w:rPr>
          <w:rFonts w:hint="eastAsia"/>
          <w:lang w:val="en-US" w:eastAsia="zh-CN"/>
        </w:rPr>
      </w:pPr>
      <w:r>
        <w:rPr>
          <w:rFonts w:hint="eastAsia"/>
          <w:lang w:val="en-US" w:eastAsia="zh-CN"/>
        </w:rPr>
        <w:t>From our perspective, this update is not needed since this section is a kind of high level description without any details. For option 1, it can be specified when we defining RRM requirements in spec. Consequently, we observe that it is not necessary to do such update.</w:t>
      </w:r>
    </w:p>
    <w:p>
      <w:pPr>
        <w:spacing w:beforeLines="50"/>
        <w:jc w:val="both"/>
        <w:rPr>
          <w:rFonts w:hint="eastAsia"/>
          <w:b/>
          <w:bCs/>
          <w:lang w:val="en-US" w:eastAsia="zh-CN"/>
        </w:rPr>
      </w:pPr>
      <w:r>
        <w:rPr>
          <w:rFonts w:hint="eastAsia"/>
          <w:b/>
          <w:bCs/>
          <w:lang w:val="en-US" w:eastAsia="zh-CN"/>
        </w:rPr>
        <w:t>Observation 1: Section 3.6.12 is a kind of high level description without any details.</w:t>
      </w:r>
    </w:p>
    <w:p>
      <w:pPr>
        <w:spacing w:beforeLines="50"/>
        <w:jc w:val="both"/>
        <w:rPr>
          <w:rFonts w:hint="default"/>
          <w:b/>
          <w:bCs/>
          <w:lang w:val="en-US" w:eastAsia="zh-CN"/>
        </w:rPr>
      </w:pPr>
      <w:r>
        <w:rPr>
          <w:rFonts w:hint="eastAsia"/>
          <w:b/>
          <w:bCs/>
          <w:lang w:val="en-US" w:eastAsia="zh-CN"/>
        </w:rPr>
        <w:t>Proposal 1: It is not necessary to update the applicability in section 3.6.12.</w:t>
      </w:r>
    </w:p>
    <w:p>
      <w:pPr>
        <w:pStyle w:val="79"/>
        <w:numPr>
          <w:ilvl w:val="1"/>
          <w:numId w:val="0"/>
        </w:numPr>
        <w:bidi w:val="0"/>
        <w:rPr>
          <w:rFonts w:hint="default"/>
          <w:lang w:val="en-US" w:eastAsia="zh-CN"/>
        </w:rPr>
      </w:pPr>
      <w:r>
        <w:rPr>
          <w:rFonts w:hint="eastAsia"/>
          <w:lang w:val="en-US" w:eastAsia="zh-CN"/>
        </w:rPr>
        <w:t>2.2 Uplink transmit timing requirement</w:t>
      </w:r>
    </w:p>
    <w:p>
      <w:pPr>
        <w:rPr>
          <w:rFonts w:hint="eastAsia"/>
          <w:lang w:val="en-US" w:eastAsia="zh-CN"/>
        </w:rPr>
      </w:pPr>
      <w:r>
        <w:rPr>
          <w:rFonts w:hint="eastAsia"/>
          <w:lang w:val="en-US" w:eastAsia="zh-CN"/>
        </w:rPr>
        <w:t>In previous meetings , RAN4 firstly confirmed four cases from RRM requirements perspective. Based on four cases, we defined the related uplink timing requirements, and there still have other issues shall be confirmed in this meeting.</w:t>
      </w:r>
    </w:p>
    <w:p>
      <w:pPr>
        <w:pStyle w:val="4"/>
        <w:bidi w:val="0"/>
        <w:rPr>
          <w:rFonts w:hint="eastAsia"/>
          <w:lang w:val="en-US" w:eastAsia="zh-CN"/>
        </w:rPr>
      </w:pPr>
      <w:r>
        <w:rPr>
          <w:rFonts w:hint="eastAsia"/>
          <w:lang w:val="en-US" w:eastAsia="zh-CN"/>
        </w:rPr>
        <w:t>Issue 1-9: Timing accuracy requirements for case 4 (section 7.1C)</w:t>
      </w:r>
    </w:p>
    <w:p>
      <w:pPr>
        <w:jc w:val="both"/>
        <w:rPr>
          <w:rFonts w:hint="eastAsia"/>
          <w:lang w:val="en-US" w:eastAsia="zh-CN"/>
        </w:rPr>
      </w:pPr>
      <w:r>
        <w:rPr>
          <w:rFonts w:hint="eastAsia"/>
          <w:lang w:val="en-US" w:eastAsia="zh-CN"/>
        </w:rPr>
        <w:t>For case 4, we have already confirmed the concrete values on timing accuracy requirements. However, the side conditions have not been agreed, we will provide our analysis on this issue in this meeting. Firstly, we could observe the following options: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left="0" w:right="0"/>
              <w:textAlignment w:val="baseline"/>
              <w:rPr>
                <w:rFonts w:hint="default"/>
                <w:b/>
                <w:color w:val="000000"/>
                <w:sz w:val="20"/>
                <w:szCs w:val="21"/>
                <w:u w:val="single"/>
              </w:rPr>
            </w:pPr>
            <w:r>
              <w:rPr>
                <w:rFonts w:hint="default"/>
                <w:b/>
                <w:color w:val="000000"/>
                <w:sz w:val="20"/>
                <w:szCs w:val="21"/>
                <w:u w:val="single"/>
              </w:rPr>
              <w:t>Issue 1-3: UL transmit timing requirement</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u w:val="single"/>
              </w:rPr>
            </w:pPr>
            <w:r>
              <w:rPr>
                <w:rFonts w:hint="eastAsia"/>
                <w:color w:val="000000"/>
                <w:sz w:val="20"/>
                <w:szCs w:val="21"/>
                <w:u w:val="single"/>
              </w:rPr>
              <w:t>A</w:t>
            </w:r>
            <w:r>
              <w:rPr>
                <w:rFonts w:hint="default"/>
                <w:color w:val="000000"/>
                <w:sz w:val="20"/>
                <w:szCs w:val="21"/>
                <w:u w:val="single"/>
              </w:rPr>
              <w:t>greement:</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sz w:val="21"/>
                <w:szCs w:val="21"/>
              </w:rPr>
            </w:pPr>
            <w:r>
              <w:rPr>
                <w:rFonts w:hint="default"/>
                <w:sz w:val="21"/>
                <w:szCs w:val="21"/>
              </w:rPr>
              <w:t>The same Te_NTN requirement applies to case 4. On top of the side conditions agreed for Rel-18 Ka band, RAN4 to add the following side condition to Te_NTN requirements for Case 4</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sz w:val="21"/>
                <w:szCs w:val="21"/>
              </w:rPr>
            </w:pPr>
            <w:r>
              <w:rPr>
                <w:rFonts w:hint="default"/>
                <w:sz w:val="21"/>
                <w:szCs w:val="21"/>
              </w:rPr>
              <w:t>Option 1: Capture it as a NOTE on the test case in the core requirement: The interval between adjacent epoch times should not exceed [2.56 or 5.12] sec in the core corresponding test case.</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sz w:val="20"/>
                <w:szCs w:val="20"/>
                <w:vertAlign w:val="baseline"/>
                <w:lang w:val="en-US" w:eastAsia="zh-CN"/>
              </w:rPr>
            </w:pPr>
            <w:r>
              <w:rPr>
                <w:rFonts w:hint="default"/>
                <w:sz w:val="21"/>
                <w:szCs w:val="21"/>
              </w:rPr>
              <w:t>Option 2: Capture it as a NOTE in core requirement: The interval between adjacent epoch times should not exceed [2.56 or 5.12] se</w:t>
            </w:r>
            <w:r>
              <w:rPr>
                <w:rFonts w:hint="eastAsia" w:eastAsia="宋体"/>
                <w:sz w:val="21"/>
                <w:szCs w:val="21"/>
                <w:lang w:val="en-US" w:eastAsia="zh-CN"/>
              </w:rPr>
              <w:t>c.</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the uplink timing requirements for case 4, the majority companies agree with the requirements for mobile VSAT served by GSO could be reused. The main difference is that the serving satellite is NGSO for mobile VSAT UE not GSO, thus, we believe that the side condition is needed. Now the main point of contention currently lies in whether the side condition shall be captured in core requirements. To our understanding, we prefer to capture the side condition in the test case. In legacy NTN discussion, we also defined the interval between adjacent epoch time as LEO 2.56s and GEO 10.24s as below:</w:t>
      </w:r>
    </w:p>
    <w:p>
      <w:pPr>
        <w:pStyle w:val="29"/>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A.3.36.2-1: Test cases for NTN specific requirements</w:t>
      </w:r>
    </w:p>
    <w:tbl>
      <w:tblPr>
        <w:tblStyle w:val="30"/>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830"/>
        <w:gridCol w:w="2294"/>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fr"/>
              </w:rPr>
            </w:pPr>
            <w:r>
              <w:rPr>
                <w:rFonts w:hint="default" w:ascii="Arial" w:hAnsi="Arial" w:eastAsia="Times New Roman" w:cs="Times New Roman"/>
                <w:b/>
                <w:bCs w:val="0"/>
                <w:kern w:val="0"/>
                <w:sz w:val="18"/>
                <w:szCs w:val="20"/>
                <w:lang w:val="en-US" w:eastAsia="fr" w:bidi="ar"/>
              </w:rPr>
              <w:t>Parameter</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fr"/>
              </w:rPr>
            </w:pPr>
            <w:r>
              <w:rPr>
                <w:rFonts w:hint="default" w:ascii="Arial" w:hAnsi="Arial" w:eastAsia="Times New Roman" w:cs="Times New Roman"/>
                <w:b/>
                <w:bCs w:val="0"/>
                <w:kern w:val="0"/>
                <w:sz w:val="18"/>
                <w:szCs w:val="20"/>
                <w:lang w:val="en-US" w:eastAsia="fr" w:bidi="ar"/>
              </w:rPr>
              <w:t>Unit</w:t>
            </w:r>
          </w:p>
        </w:tc>
        <w:tc>
          <w:tcPr>
            <w:tcW w:w="33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fr"/>
              </w:rPr>
            </w:pPr>
            <w:r>
              <w:rPr>
                <w:rFonts w:hint="default" w:ascii="Arial" w:hAnsi="Arial" w:eastAsia="Times New Roman" w:cs="Times New Roman"/>
                <w:b/>
                <w:bCs w:val="0"/>
                <w:kern w:val="0"/>
                <w:sz w:val="18"/>
                <w:szCs w:val="20"/>
                <w:lang w:val="en-US" w:eastAsia="fr" w:bidi="ar"/>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rPr>
            </w:pPr>
            <w:r>
              <w:rPr>
                <w:rFonts w:hint="default" w:ascii="Arial" w:hAnsi="Arial" w:eastAsia="Times New Roman" w:cs="Times New Roman"/>
                <w:kern w:val="0"/>
                <w:sz w:val="18"/>
                <w:szCs w:val="18"/>
                <w:lang w:val="en-US" w:eastAsia="zh-CN" w:bidi="ar"/>
              </w:rPr>
              <w:t>Interval between adjacent epoch time</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zh-CN" w:bidi="ar"/>
              </w:rPr>
              <w:t>s</w:t>
            </w:r>
          </w:p>
        </w:tc>
        <w:tc>
          <w:tcPr>
            <w:tcW w:w="33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highlight w:val="yellow"/>
                <w:lang w:val="en-US" w:eastAsia="zh-CN"/>
              </w:rPr>
            </w:pPr>
            <w:r>
              <w:rPr>
                <w:rFonts w:hint="default" w:ascii="Arial" w:hAnsi="Arial" w:eastAsia="Times New Roman" w:cs="Arial"/>
                <w:kern w:val="0"/>
                <w:sz w:val="18"/>
                <w:szCs w:val="18"/>
                <w:highlight w:val="yellow"/>
                <w:lang w:val="en-US" w:eastAsia="zh-CN" w:bidi="ar"/>
              </w:rPr>
              <w:t>LEO: 2.56</w:t>
            </w:r>
          </w:p>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highlight w:val="yellow"/>
                <w:lang w:val="en-US" w:eastAsia="zh-CN" w:bidi="ar"/>
              </w:rPr>
              <w:t>GEO: 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eastAsia="fr"/>
              </w:rPr>
            </w:pPr>
            <w:r>
              <w:rPr>
                <w:rFonts w:hint="default" w:ascii="Arial" w:hAnsi="Arial" w:eastAsia="Times New Roman" w:cs="Times New Roman"/>
                <w:kern w:val="0"/>
                <w:sz w:val="18"/>
                <w:szCs w:val="18"/>
                <w:lang w:val="en-US" w:eastAsia="zh-CN" w:bidi="ar"/>
              </w:rPr>
              <w:t>ntn-UlSyncValidityDuration</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zh-CN" w:bidi="ar"/>
              </w:rPr>
              <w:t>s</w:t>
            </w: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zh-CN"/>
              </w:rPr>
            </w:pPr>
            <w:r>
              <w:rPr>
                <w:rFonts w:hint="default" w:ascii="Arial" w:hAnsi="Arial" w:eastAsia="Times New Roman" w:cs="Arial"/>
                <w:kern w:val="0"/>
                <w:sz w:val="18"/>
                <w:szCs w:val="18"/>
                <w:lang w:val="en-US" w:eastAsia="zh-CN" w:bidi="ar"/>
              </w:rPr>
              <w:t>LEO: 5</w:t>
            </w:r>
          </w:p>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zh-CN" w:bidi="ar"/>
              </w:rPr>
              <w:t>GEO: 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eastAsia="fr"/>
              </w:rPr>
            </w:pPr>
            <w:r>
              <w:rPr>
                <w:rFonts w:hint="default" w:ascii="Arial" w:hAnsi="Arial" w:eastAsia="Times New Roman" w:cs="Times New Roman"/>
                <w:kern w:val="0"/>
                <w:sz w:val="18"/>
                <w:szCs w:val="18"/>
                <w:lang w:val="en-US" w:eastAsia="zh-CN" w:bidi="ar"/>
              </w:rPr>
              <w:t>cellSpecificKoffset</w:t>
            </w:r>
            <w:r>
              <w:rPr>
                <w:rFonts w:hint="default" w:ascii="Arial" w:hAnsi="Arial" w:eastAsia="Times New Roman" w:cs="Times New Roman"/>
                <w:kern w:val="0"/>
                <w:sz w:val="18"/>
                <w:szCs w:val="18"/>
                <w:lang w:val="en-US" w:eastAsia="fr" w:bidi="ar"/>
              </w:rPr>
              <w:t xml:space="preserve"> </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zh-CN" w:bidi="ar"/>
              </w:rPr>
              <w:t>slot</w:t>
            </w: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zh-CN"/>
              </w:rPr>
            </w:pPr>
            <w:r>
              <w:rPr>
                <w:rFonts w:hint="default" w:ascii="Arial" w:hAnsi="Arial" w:eastAsia="Times New Roman" w:cs="Arial"/>
                <w:kern w:val="0"/>
                <w:sz w:val="18"/>
                <w:szCs w:val="18"/>
                <w:lang w:val="en-US" w:eastAsia="zh-CN" w:bidi="ar"/>
              </w:rPr>
              <w:t>LEO: 14</w:t>
            </w:r>
          </w:p>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zh-CN" w:bidi="ar"/>
              </w:rPr>
              <w:t>GEO: 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eastAsia="fr"/>
              </w:rPr>
            </w:pPr>
            <w:r>
              <w:rPr>
                <w:rFonts w:hint="default" w:ascii="Arial" w:hAnsi="Arial" w:eastAsia="Times New Roman" w:cs="Times New Roman"/>
                <w:kern w:val="0"/>
                <w:sz w:val="18"/>
                <w:szCs w:val="18"/>
                <w:lang w:val="en-US" w:eastAsia="zh-CN" w:bidi="ar"/>
              </w:rPr>
              <w:t>kmac</w:t>
            </w:r>
            <w:r>
              <w:rPr>
                <w:rFonts w:hint="default" w:ascii="Arial" w:hAnsi="Arial" w:eastAsia="Times New Roman" w:cs="Times New Roman"/>
                <w:kern w:val="0"/>
                <w:sz w:val="18"/>
                <w:szCs w:val="18"/>
                <w:lang w:val="en-US" w:eastAsia="fr" w:bidi="ar"/>
              </w:rPr>
              <w:t xml:space="preserve"> </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fr" w:bidi="ar"/>
              </w:rPr>
              <w:t>slot</w:t>
            </w: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zh-CN"/>
              </w:rPr>
            </w:pPr>
            <w:r>
              <w:rPr>
                <w:rFonts w:hint="default" w:ascii="Arial" w:hAnsi="Arial" w:eastAsia="Times New Roman" w:cs="Arial"/>
                <w:kern w:val="0"/>
                <w:sz w:val="18"/>
                <w:szCs w:val="18"/>
                <w:lang w:val="en-US" w:eastAsia="zh-CN" w:bidi="ar"/>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eastAsia="Calibri"/>
                <w:szCs w:val="18"/>
                <w:lang w:val="en-US" w:eastAsia="fr"/>
              </w:rPr>
            </w:pPr>
            <w:r>
              <w:rPr>
                <w:rFonts w:hint="default" w:ascii="Arial" w:hAnsi="Arial" w:eastAsia="Times New Roman" w:cs="Times New Roman"/>
                <w:kern w:val="0"/>
                <w:sz w:val="18"/>
                <w:szCs w:val="18"/>
                <w:lang w:val="en-US" w:eastAsia="zh-CN" w:bidi="ar"/>
              </w:rPr>
              <w:t>ta-Common</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fr"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eastAsia="fr"/>
              </w:rPr>
            </w:pPr>
            <w:r>
              <w:rPr>
                <w:rFonts w:hint="default" w:ascii="Arial" w:hAnsi="Arial" w:eastAsia="Times New Roman" w:cs="Times New Roman"/>
                <w:kern w:val="0"/>
                <w:sz w:val="18"/>
                <w:szCs w:val="18"/>
                <w:lang w:val="en-US" w:eastAsia="zh-CN" w:bidi="ar"/>
              </w:rPr>
              <w:t>ta-CommonDrift</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Calibri" w:hAnsi="Calibri" w:cs="Times New Roman"/>
                <w:sz w:val="22"/>
                <w:szCs w:val="22"/>
              </w:rPr>
            </w:pP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fr"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eastAsia="fr"/>
              </w:rPr>
            </w:pPr>
            <w:r>
              <w:rPr>
                <w:rFonts w:hint="default" w:ascii="Arial" w:hAnsi="Arial" w:eastAsia="Times New Roman" w:cs="Times New Roman"/>
                <w:kern w:val="0"/>
                <w:sz w:val="18"/>
                <w:szCs w:val="18"/>
                <w:lang w:val="en-US" w:eastAsia="zh-CN" w:bidi="ar"/>
              </w:rPr>
              <w:t>ta-CommonDriftVariant</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Calibri" w:hAnsi="Calibri" w:cs="Times New Roman"/>
                <w:sz w:val="22"/>
                <w:szCs w:val="22"/>
              </w:rPr>
            </w:pP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fr"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eastAsia="fr"/>
              </w:rPr>
            </w:pPr>
            <w:r>
              <w:rPr>
                <w:rFonts w:hint="default" w:ascii="Arial" w:hAnsi="Arial" w:eastAsia="Times New Roman" w:cs="Times New Roman"/>
                <w:kern w:val="0"/>
                <w:sz w:val="18"/>
                <w:szCs w:val="18"/>
                <w:lang w:val="en-US" w:eastAsia="zh-CN" w:bidi="ar"/>
              </w:rPr>
              <w:t>ntn-PolarizationDL</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Calibri" w:hAnsi="Calibri" w:cs="Times New Roman"/>
                <w:sz w:val="22"/>
                <w:szCs w:val="22"/>
              </w:rPr>
            </w:pP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r>
              <w:rPr>
                <w:rFonts w:hint="default" w:ascii="Arial" w:hAnsi="Arial" w:eastAsia="Times New Roman" w:cs="Arial"/>
                <w:kern w:val="0"/>
                <w:sz w:val="18"/>
                <w:szCs w:val="18"/>
                <w:lang w:val="en-US" w:eastAsia="zh-CN" w:bidi="ar"/>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rPr>
            </w:pPr>
            <w:r>
              <w:rPr>
                <w:rFonts w:hint="default" w:ascii="Arial" w:hAnsi="Arial" w:eastAsia="Times New Roman" w:cs="Times New Roman"/>
                <w:kern w:val="0"/>
                <w:sz w:val="18"/>
                <w:szCs w:val="18"/>
                <w:lang w:val="en-US" w:eastAsia="zh-CN" w:bidi="ar"/>
              </w:rPr>
              <w:t>ntn-PolarizationUL</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rPr>
            </w:pPr>
            <w:r>
              <w:rPr>
                <w:rFonts w:hint="default" w:ascii="Arial" w:hAnsi="Arial" w:eastAsia="Times New Roman" w:cs="Arial"/>
                <w:kern w:val="0"/>
                <w:sz w:val="18"/>
                <w:szCs w:val="18"/>
                <w:lang w:val="en-US" w:eastAsia="zh-CN" w:bidi="ar"/>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rPr>
            </w:pPr>
            <w:r>
              <w:rPr>
                <w:rFonts w:hint="default" w:ascii="Arial" w:hAnsi="Arial" w:eastAsia="Times New Roman" w:cs="Times New Roman"/>
                <w:kern w:val="0"/>
                <w:sz w:val="18"/>
                <w:szCs w:val="18"/>
                <w:lang w:val="en-US" w:eastAsia="zh-CN" w:bidi="ar"/>
              </w:rPr>
              <w:t>ephemerisInfo</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Detailed ephemeris information is provided in TS 38.508-1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18"/>
                <w:lang w:val="en-US"/>
              </w:rPr>
            </w:pPr>
            <w:r>
              <w:rPr>
                <w:rFonts w:hint="default" w:ascii="Arial" w:hAnsi="Arial" w:eastAsia="Times New Roman" w:cs="Times New Roman"/>
                <w:kern w:val="0"/>
                <w:sz w:val="18"/>
                <w:szCs w:val="18"/>
                <w:lang w:val="en-US" w:eastAsia="zh-CN" w:bidi="ar"/>
              </w:rPr>
              <w:t>ta-Report</w:t>
            </w:r>
          </w:p>
        </w:tc>
        <w:tc>
          <w:tcPr>
            <w:tcW w:w="2294"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fr"/>
              </w:rPr>
            </w:pPr>
          </w:p>
        </w:tc>
        <w:tc>
          <w:tcPr>
            <w:tcW w:w="337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18"/>
                <w:lang w:val="en-US" w:eastAsia="zh-CN"/>
              </w:rPr>
            </w:pPr>
            <w:r>
              <w:rPr>
                <w:rFonts w:hint="default" w:ascii="Arial" w:hAnsi="Arial" w:eastAsia="Times New Roman" w:cs="Arial"/>
                <w:kern w:val="0"/>
                <w:sz w:val="18"/>
                <w:szCs w:val="18"/>
                <w:lang w:val="en-US" w:eastAsia="zh-CN" w:bidi="ar"/>
              </w:rPr>
              <w:t>Not configured</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 xml:space="preserve">The same logic shall be followed as legacy, the side condition shall be in the test case. </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Observation 2: In legacy NTN discussion, RAN4 defined the interval between adjacent epoch time as LEO 2.56s and GEO 10.24s, the interval between adjacent epoch time is defined in test case.</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 xml:space="preserve">For another point, the value can also be reused as legacy which is 2.56s. </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b/>
          <w:bCs/>
          <w:lang w:val="en-US" w:eastAsia="zh-CN"/>
        </w:rPr>
      </w:pPr>
      <w:r>
        <w:rPr>
          <w:rFonts w:hint="eastAsia"/>
          <w:b/>
          <w:bCs/>
          <w:lang w:val="en-US" w:eastAsia="zh-CN"/>
        </w:rPr>
        <w:t xml:space="preserve">Observation 3: The interval between adjacent epoch times of LEO is 2.56s. </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sz w:val="21"/>
          <w:szCs w:val="21"/>
          <w:lang w:val="en-US" w:eastAsia="zh-CN"/>
        </w:rPr>
      </w:pPr>
      <w:r>
        <w:rPr>
          <w:rFonts w:hint="eastAsia"/>
          <w:b/>
          <w:bCs/>
          <w:lang w:val="en-US" w:eastAsia="zh-CN"/>
        </w:rPr>
        <w:t>Proposal 2: T</w:t>
      </w:r>
      <w:r>
        <w:rPr>
          <w:rFonts w:hint="eastAsia" w:eastAsia="宋体"/>
          <w:b/>
          <w:bCs/>
          <w:sz w:val="21"/>
          <w:szCs w:val="21"/>
          <w:lang w:val="en-US" w:eastAsia="zh-CN"/>
        </w:rPr>
        <w:t xml:space="preserve">he side condition shall be added in test cases and the value for LEO can follow the legacy value, which is 2.56s </w:t>
      </w:r>
      <w:r>
        <w:rPr>
          <w:b/>
          <w:bCs/>
          <w:sz w:val="21"/>
          <w:szCs w:val="21"/>
        </w:rPr>
        <w:t>.</w:t>
      </w:r>
    </w:p>
    <w:p>
      <w:pPr>
        <w:pStyle w:val="79"/>
        <w:numPr>
          <w:ilvl w:val="1"/>
          <w:numId w:val="0"/>
        </w:numPr>
        <w:bidi w:val="0"/>
        <w:rPr>
          <w:rFonts w:hint="eastAsia"/>
          <w:lang w:val="en-US" w:eastAsia="zh-CN"/>
        </w:rPr>
      </w:pPr>
      <w:r>
        <w:rPr>
          <w:rFonts w:hint="eastAsia"/>
          <w:lang w:val="en-US" w:eastAsia="zh-CN"/>
        </w:rPr>
        <w:t>2.3 Potential RRM requirements</w:t>
      </w:r>
    </w:p>
    <w:p>
      <w:pPr>
        <w:rPr>
          <w:rFonts w:hint="eastAsia"/>
          <w:lang w:val="en-US" w:eastAsia="zh-CN"/>
        </w:rPr>
      </w:pPr>
      <w:r>
        <w:rPr>
          <w:rFonts w:hint="eastAsia"/>
          <w:lang w:val="en-US" w:eastAsia="zh-CN"/>
        </w:rPr>
        <w:t>In last meeting, RAN4 has studied several potential RRM requirements and reached the agreement. However, there are still some unsolved requirements on the table. We would like to provide our vies in this section.</w:t>
      </w:r>
    </w:p>
    <w:p>
      <w:pPr>
        <w:pStyle w:val="4"/>
        <w:bidi w:val="0"/>
        <w:rPr>
          <w:rFonts w:hint="default"/>
          <w:lang w:val="en-US" w:eastAsia="zh-CN"/>
        </w:rPr>
      </w:pPr>
      <w:r>
        <w:rPr>
          <w:rFonts w:hint="eastAsia"/>
          <w:lang w:val="en-US" w:eastAsia="zh-CN"/>
        </w:rPr>
        <w:t>Issue 1-4: Inter-satellite cell reselection requirements (section 4.2C)</w:t>
      </w:r>
    </w:p>
    <w:p>
      <w:pPr>
        <w:rPr>
          <w:rFonts w:hint="eastAsia"/>
          <w:lang w:val="en-US" w:eastAsia="zh-CN"/>
        </w:rPr>
      </w:pPr>
      <w:r>
        <w:rPr>
          <w:rFonts w:hint="eastAsia"/>
          <w:lang w:val="en-US" w:eastAsia="zh-CN"/>
        </w:rPr>
        <w:t>For inter-satellite cell reselection requirements, only one company raised this issue as following: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color w:val="000000"/>
                <w:sz w:val="20"/>
                <w:szCs w:val="21"/>
              </w:rPr>
              <w:t>Option 1:</w:t>
            </w:r>
            <w:r>
              <w:rPr>
                <w:rFonts w:hint="default"/>
                <w:bCs/>
                <w:color w:val="000000"/>
                <w:sz w:val="20"/>
                <w:szCs w:val="21"/>
              </w:rPr>
              <w:t xml:space="preserve"> </w:t>
            </w:r>
            <w:bookmarkStart w:id="2" w:name="_Toc194070601"/>
            <w:r>
              <w:rPr>
                <w:rFonts w:hint="default"/>
                <w:bCs/>
                <w:color w:val="000000"/>
                <w:sz w:val="20"/>
                <w:szCs w:val="21"/>
                <w:lang w:val="en-GB"/>
              </w:rPr>
              <w:t>RAN4 to create inter-satellite cell reselection requirements for VSAT UEs in Rel-19</w:t>
            </w:r>
            <w:bookmarkEnd w:id="2"/>
            <w:r>
              <w:rPr>
                <w:rFonts w:hint="default"/>
                <w:bCs/>
                <w:color w:val="000000"/>
                <w:sz w:val="20"/>
                <w:szCs w:val="21"/>
                <w:lang w:val="en-GB"/>
              </w:rPr>
              <w:t>.</w:t>
            </w:r>
          </w:p>
        </w:tc>
      </w:tr>
    </w:tbl>
    <w:p>
      <w:pPr>
        <w:jc w:val="both"/>
        <w:rPr>
          <w:rFonts w:hint="eastAsia"/>
          <w:lang w:val="en-US" w:eastAsia="zh-CN"/>
        </w:rPr>
      </w:pPr>
      <w:r>
        <w:rPr>
          <w:rFonts w:hint="eastAsia"/>
          <w:lang w:val="en-US" w:eastAsia="zh-CN"/>
        </w:rPr>
        <w:t xml:space="preserve">For this issue, we prefer to not define inter-satellite cell reselection for VSAT UEs in R19 since RAN4 does not define this requirements in Ka band. The company also said that during R18 WI, when the VSAT requirements were first created for spec, there was limited time for discussing this potential scenario, and RAN plenary took the decision to limit the scope of NTN applicability. Thus, we would not like to define such complex scenario as legacy Ka band unless RAN plenary agree to discuss this. </w:t>
      </w:r>
    </w:p>
    <w:p>
      <w:pPr>
        <w:jc w:val="both"/>
        <w:rPr>
          <w:rFonts w:hint="eastAsia"/>
          <w:b/>
          <w:bCs/>
          <w:lang w:val="en-US" w:eastAsia="zh-CN"/>
        </w:rPr>
      </w:pPr>
      <w:r>
        <w:rPr>
          <w:rFonts w:hint="eastAsia"/>
          <w:b/>
          <w:bCs/>
          <w:lang w:val="en-US" w:eastAsia="zh-CN"/>
        </w:rPr>
        <w:t>Proposal 3: RAN4 shall not create inter-satellite cell reselection requirements for VSAT UEs on Ku bands in R19.</w:t>
      </w:r>
    </w:p>
    <w:p>
      <w:pPr>
        <w:pStyle w:val="4"/>
        <w:bidi w:val="0"/>
        <w:rPr>
          <w:rFonts w:hint="default"/>
          <w:lang w:val="en-US" w:eastAsia="zh-CN"/>
        </w:rPr>
      </w:pPr>
      <w:r>
        <w:rPr>
          <w:rFonts w:hint="eastAsia"/>
          <w:lang w:val="en-US" w:eastAsia="zh-CN"/>
        </w:rPr>
        <w:t>Issue 1-6: NR SAN Handover (section 6.1C.1.3)</w:t>
      </w:r>
    </w:p>
    <w:p>
      <w:pPr>
        <w:jc w:val="both"/>
        <w:rPr>
          <w:rFonts w:hint="eastAsia"/>
          <w:b w:val="0"/>
          <w:bCs w:val="0"/>
          <w:lang w:val="en-US" w:eastAsia="zh-CN"/>
        </w:rPr>
      </w:pPr>
      <w:r>
        <w:rPr>
          <w:rFonts w:hint="eastAsia"/>
          <w:b w:val="0"/>
          <w:bCs w:val="0"/>
          <w:lang w:val="en-US" w:eastAsia="zh-CN"/>
        </w:rPr>
        <w:t>The controversial issue is whether the satellite switching with re-sync shall be considered. The following analysis shall be referred.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u w:val="single"/>
              </w:rPr>
            </w:pPr>
            <w:r>
              <w:rPr>
                <w:rFonts w:hint="eastAsia"/>
                <w:color w:val="000000"/>
                <w:sz w:val="20"/>
                <w:szCs w:val="21"/>
                <w:u w:val="single"/>
              </w:rPr>
              <w:t>A</w:t>
            </w:r>
            <w:r>
              <w:rPr>
                <w:rFonts w:hint="default"/>
                <w:color w:val="000000"/>
                <w:sz w:val="20"/>
                <w:szCs w:val="21"/>
                <w:u w:val="single"/>
              </w:rPr>
              <w:t>greement:</w:t>
            </w:r>
          </w:p>
          <w:p>
            <w:pPr>
              <w:keepNext w:val="0"/>
              <w:keepLines w:val="0"/>
              <w:widowControl/>
              <w:numPr>
                <w:ilvl w:val="0"/>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Reuse the same value of T_sat_beam as in Ka band for Ku band</w:t>
            </w:r>
          </w:p>
          <w:p>
            <w:pPr>
              <w:keepNext w:val="0"/>
              <w:keepLines w:val="0"/>
              <w:widowControl/>
              <w:numPr>
                <w:ilvl w:val="0"/>
                <w:numId w:val="5"/>
              </w:numPr>
              <w:suppressLineNumbers w:val="0"/>
              <w:overflowPunct w:val="0"/>
              <w:autoSpaceDE w:val="0"/>
              <w:autoSpaceDN w:val="0"/>
              <w:adjustRightInd w:val="0"/>
              <w:snapToGrid w:val="0"/>
              <w:spacing w:before="0" w:beforeAutospacing="0" w:after="120" w:afterAutospacing="0"/>
              <w:ind w:right="0"/>
              <w:jc w:val="left"/>
              <w:textAlignment w:val="baseline"/>
              <w:rPr>
                <w:rFonts w:hint="default"/>
                <w:b w:val="0"/>
                <w:bCs w:val="0"/>
                <w:sz w:val="20"/>
                <w:szCs w:val="20"/>
                <w:vertAlign w:val="baseline"/>
                <w:lang w:val="en-US" w:eastAsia="zh-CN"/>
              </w:rPr>
            </w:pPr>
            <w:r>
              <w:rPr>
                <w:rFonts w:hint="default"/>
                <w:color w:val="000000"/>
                <w:sz w:val="20"/>
                <w:szCs w:val="21"/>
              </w:rPr>
              <w:t>For VSAT UEs operating in FR1-NTN numerology, not specify the RRM requirements for TN-NTN mobility, inter-RAT mobility [or satellite switching with re-sync].</w:t>
            </w:r>
          </w:p>
        </w:tc>
      </w:tr>
    </w:tbl>
    <w:p>
      <w:pPr>
        <w:spacing w:beforeLines="50"/>
        <w:jc w:val="both"/>
        <w:rPr>
          <w:rFonts w:hint="default"/>
          <w:b w:val="0"/>
          <w:bCs w:val="0"/>
          <w:lang w:val="en-US" w:eastAsia="zh-CN"/>
        </w:rPr>
      </w:pPr>
      <w:r>
        <w:rPr>
          <w:rFonts w:hint="eastAsia"/>
          <w:b w:val="0"/>
          <w:bCs w:val="0"/>
          <w:lang w:val="en-US" w:eastAsia="zh-CN"/>
        </w:rPr>
        <w:t>For VSAT UEs operating in FR1- NTN numerology, we have already agreed that TN-NTN mobility and inter-RAT mobility shall not be considered, since VSAT UE is not mainly worked in TN network whatever NR TN or LTE TN. For satellite switching with re-sync, we deem that it shall be considered since there is the requirements for satellite switching with re-sync from NR SAN FR1 cell to NR SAN FR1 cell in legacy.</w:t>
      </w:r>
    </w:p>
    <w:p>
      <w:pPr>
        <w:spacing w:beforeLines="50"/>
        <w:jc w:val="both"/>
        <w:rPr>
          <w:rFonts w:hint="default"/>
          <w:b/>
          <w:bCs/>
          <w:lang w:val="en-US" w:eastAsia="zh-CN"/>
        </w:rPr>
      </w:pPr>
      <w:r>
        <w:rPr>
          <w:rFonts w:hint="eastAsia"/>
          <w:b/>
          <w:bCs/>
          <w:lang w:val="en-US" w:eastAsia="zh-CN"/>
        </w:rPr>
        <w:t>Proposal 4: RAN4 shall consider satellite switching with re-sync for VSAT UE operating in FR1 NTN numerology.</w:t>
      </w:r>
    </w:p>
    <w:p>
      <w:pPr>
        <w:pStyle w:val="4"/>
        <w:bidi w:val="0"/>
        <w:rPr>
          <w:rFonts w:hint="default"/>
          <w:lang w:val="en-US" w:eastAsia="zh-CN"/>
        </w:rPr>
      </w:pPr>
      <w:r>
        <w:rPr>
          <w:rFonts w:hint="eastAsia"/>
          <w:lang w:val="en-US" w:eastAsia="zh-CN"/>
        </w:rPr>
        <w:t>Issue 1-12: RLM (section 8.1C)</w:t>
      </w:r>
    </w:p>
    <w:p>
      <w:pPr>
        <w:jc w:val="both"/>
        <w:rPr>
          <w:rFonts w:hint="eastAsia"/>
          <w:lang w:val="en-US" w:eastAsia="zh-CN"/>
        </w:rPr>
      </w:pPr>
      <w:r>
        <w:rPr>
          <w:rFonts w:hint="eastAsia"/>
          <w:lang w:val="en-US" w:eastAsia="zh-CN"/>
        </w:rPr>
        <w:t>The potential way forward as following: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jc w:val="both"/>
              <w:rPr>
                <w:rFonts w:hint="default"/>
                <w:sz w:val="20"/>
                <w:szCs w:val="20"/>
                <w:vertAlign w:val="baseline"/>
                <w:lang w:val="en-US" w:eastAsia="zh-CN"/>
              </w:rPr>
            </w:pPr>
            <w:r>
              <w:rPr>
                <w:rFonts w:hint="default"/>
                <w:color w:val="000000"/>
                <w:sz w:val="20"/>
                <w:szCs w:val="21"/>
              </w:rPr>
              <w:t>Option 1:</w:t>
            </w:r>
            <w:r>
              <w:rPr>
                <w:rFonts w:hint="default"/>
                <w:bCs/>
                <w:color w:val="000000"/>
                <w:sz w:val="20"/>
                <w:szCs w:val="21"/>
              </w:rPr>
              <w:t xml:space="preserve"> </w:t>
            </w:r>
            <w:r>
              <w:rPr>
                <w:rFonts w:hint="default" w:eastAsia="宋体"/>
                <w:color w:val="000000" w:themeColor="text1"/>
                <w:sz w:val="20"/>
                <w:szCs w:val="20"/>
                <w:lang w:val="en-GB"/>
                <w14:textFill>
                  <w14:solidFill>
                    <w14:schemeClr w14:val="tx1"/>
                  </w14:solidFill>
                </w14:textFill>
              </w:rPr>
              <w:t>Confirm the assumption that L</w:t>
            </w:r>
            <w:r>
              <w:rPr>
                <w:rFonts w:hint="default" w:eastAsia="宋体"/>
                <w:color w:val="000000" w:themeColor="text1"/>
                <w:sz w:val="20"/>
                <w:szCs w:val="20"/>
                <w:vertAlign w:val="subscript"/>
                <w:lang w:val="en-GB"/>
                <w14:textFill>
                  <w14:solidFill>
                    <w14:schemeClr w14:val="tx1"/>
                  </w14:solidFill>
                </w14:textFill>
              </w:rPr>
              <w:t>Max</w:t>
            </w:r>
            <w:r>
              <w:rPr>
                <w:rFonts w:hint="default" w:eastAsia="宋体"/>
                <w:color w:val="000000" w:themeColor="text1"/>
                <w:sz w:val="20"/>
                <w:szCs w:val="20"/>
                <w:lang w:val="en-GB"/>
                <w14:textFill>
                  <w14:solidFill>
                    <w14:schemeClr w14:val="tx1"/>
                  </w14:solidFill>
                </w14:textFill>
              </w:rPr>
              <w:t xml:space="preserve"> is equal to 8 for FR1-NTN</w:t>
            </w:r>
            <w:r>
              <w:rPr>
                <w:rFonts w:hint="default"/>
                <w:bCs/>
                <w:color w:val="000000"/>
                <w:sz w:val="20"/>
                <w:szCs w:val="21"/>
              </w:rPr>
              <w:t xml:space="preserve"> </w:t>
            </w:r>
          </w:p>
        </w:tc>
      </w:tr>
    </w:tbl>
    <w:p>
      <w:pPr>
        <w:spacing w:beforeLines="50"/>
        <w:jc w:val="both"/>
        <w:rPr>
          <w:rFonts w:hint="eastAsia"/>
          <w:lang w:val="en-US" w:eastAsia="zh-CN"/>
        </w:rPr>
      </w:pPr>
      <w:r>
        <w:rPr>
          <w:rFonts w:hint="eastAsia"/>
          <w:lang w:val="en-US" w:eastAsia="zh-CN"/>
        </w:rPr>
        <w:t>We are fine to revisit L</w:t>
      </w:r>
      <w:r>
        <w:rPr>
          <w:rFonts w:hint="eastAsia"/>
          <w:vertAlign w:val="subscript"/>
          <w:lang w:val="en-US" w:eastAsia="zh-CN"/>
        </w:rPr>
        <w:t>Max</w:t>
      </w:r>
      <w:r>
        <w:rPr>
          <w:rFonts w:hint="eastAsia"/>
          <w:lang w:val="en-US" w:eastAsia="zh-CN"/>
        </w:rPr>
        <w:t xml:space="preserve"> from 4 to 8. In the current spec, we observed the following requirements:</w:t>
      </w:r>
    </w:p>
    <w:p>
      <w:pPr>
        <w:pStyle w:val="29"/>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ascii="Arial" w:hAnsi="Arial" w:eastAsia="Times New Roman" w:cs="Times New Roman"/>
          <w:b/>
          <w:bCs w:val="0"/>
          <w:kern w:val="0"/>
          <w:sz w:val="20"/>
          <w:szCs w:val="20"/>
          <w:lang w:val="en-US" w:eastAsia="zh-CN" w:bidi="ar"/>
        </w:rPr>
        <w:t>Table 8.1C.1-2: Maximum number of RLM-RS resources N</w:t>
      </w:r>
      <w:r>
        <w:rPr>
          <w:rFonts w:ascii="Arial" w:hAnsi="Arial" w:eastAsia="Times New Roman" w:cs="Times New Roman"/>
          <w:b/>
          <w:bCs w:val="0"/>
          <w:kern w:val="0"/>
          <w:sz w:val="20"/>
          <w:szCs w:val="20"/>
          <w:vertAlign w:val="subscript"/>
          <w:lang w:val="en-US" w:eastAsia="zh-CN" w:bidi="ar"/>
        </w:rPr>
        <w:t>RLM</w:t>
      </w:r>
    </w:p>
    <w:tbl>
      <w:tblPr>
        <w:tblStyle w:val="30"/>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 xml:space="preserve">Carrier frequency range of PCell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Arial"/>
                <w:kern w:val="0"/>
                <w:sz w:val="18"/>
                <w:szCs w:val="18"/>
                <w:lang w:val="en-US" w:eastAsia="en-US" w:bidi="ar"/>
              </w:rPr>
              <w:t>L</w:t>
            </w:r>
            <w:r>
              <w:rPr>
                <w:rFonts w:hint="default" w:ascii="Arial" w:hAnsi="Arial" w:eastAsia="Times New Roman" w:cs="Arial"/>
                <w:kern w:val="0"/>
                <w:sz w:val="18"/>
                <w:szCs w:val="18"/>
                <w:vertAlign w:val="subscript"/>
                <w:lang w:val="en-US" w:eastAsia="en-US" w:bidi="ar"/>
              </w:rPr>
              <w:t>max</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en-US" w:bidi="ar"/>
              </w:rPr>
              <w:t xml:space="preserve">Maximum number of RLM-RS resources, </w:t>
            </w:r>
            <w:r>
              <w:rPr>
                <w:rFonts w:hint="default" w:ascii="Arial" w:hAnsi="Arial" w:eastAsia="Times New Roman" w:cs="Times New Roman"/>
                <w:b/>
                <w:bCs w:val="0"/>
                <w:kern w:val="0"/>
                <w:sz w:val="18"/>
                <w:szCs w:val="20"/>
                <w:lang w:val="en-US" w:eastAsia="zh-CN" w:bidi="ar"/>
              </w:rPr>
              <w:t>N</w:t>
            </w:r>
            <w:r>
              <w:rPr>
                <w:rFonts w:hint="default" w:ascii="Arial" w:hAnsi="Arial" w:eastAsia="Times New Roman" w:cs="Times New Roman"/>
                <w:b/>
                <w:bCs w:val="0"/>
                <w:kern w:val="0"/>
                <w:sz w:val="18"/>
                <w:szCs w:val="20"/>
                <w:vertAlign w:val="subscript"/>
                <w:lang w:val="en-US" w:eastAsia="en-US" w:bidi="ar"/>
              </w:rPr>
              <w:t>RLM</w:t>
            </w:r>
            <w:r>
              <w:rPr>
                <w:rFonts w:hint="default" w:ascii="Arial" w:hAnsi="Arial" w:eastAsia="Times New Roman" w:cs="Times New Roman"/>
                <w:b/>
                <w:bCs w:val="0"/>
                <w:kern w:val="0"/>
                <w:sz w:val="18"/>
                <w:szCs w:val="20"/>
                <w:lang w:val="en-US" w:eastAsia="en-US"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highlight w:val="yellow"/>
                <w:lang w:val="en-US"/>
              </w:rPr>
            </w:pPr>
            <w:r>
              <w:rPr>
                <w:rFonts w:hint="default" w:ascii="Arial" w:hAnsi="Arial" w:eastAsia="Times New Roman" w:cs="Times New Roman"/>
                <w:kern w:val="0"/>
                <w:sz w:val="18"/>
                <w:szCs w:val="20"/>
                <w:highlight w:val="yellow"/>
                <w:lang w:val="en-US" w:eastAsia="zh-CN" w:bidi="ar"/>
              </w:rPr>
              <w:t>FR1, ≤ 3 GHz</w:t>
            </w:r>
            <w:r>
              <w:rPr>
                <w:rFonts w:hint="default" w:ascii="Arial" w:hAnsi="Arial" w:eastAsia="Times New Roman" w:cs="Times New Roman"/>
                <w:kern w:val="0"/>
                <w:sz w:val="18"/>
                <w:szCs w:val="20"/>
                <w:highlight w:val="yellow"/>
                <w:vertAlign w:val="superscript"/>
                <w:lang w:val="en-US" w:eastAsia="zh-CN" w:bidi="ar"/>
              </w:rPr>
              <w:t>Note</w:t>
            </w:r>
            <w:r>
              <w:rPr>
                <w:rFonts w:hint="default" w:ascii="Arial" w:hAnsi="Arial" w:eastAsia="Times New Roman" w:cs="Times New Roman"/>
                <w:kern w:val="0"/>
                <w:sz w:val="18"/>
                <w:szCs w:val="20"/>
                <w:highlight w:val="yellow"/>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highlight w:val="yellow"/>
                <w:lang w:val="en-US"/>
              </w:rPr>
            </w:pPr>
            <w:r>
              <w:rPr>
                <w:rFonts w:hint="default" w:ascii="Arial" w:hAnsi="Arial" w:eastAsia="Times New Roman" w:cs="Times New Roman"/>
                <w:kern w:val="0"/>
                <w:sz w:val="18"/>
                <w:szCs w:val="20"/>
                <w:highlight w:val="yellow"/>
                <w:lang w:val="en-US" w:eastAsia="zh-CN" w:bidi="ar"/>
              </w:rPr>
              <w:t>4</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highlight w:val="yellow"/>
                <w:lang w:val="en-US"/>
              </w:rPr>
            </w:pPr>
            <w:r>
              <w:rPr>
                <w:rFonts w:hint="default" w:ascii="Arial" w:hAnsi="Arial" w:eastAsia="Times New Roman" w:cs="Times New Roman"/>
                <w:kern w:val="0"/>
                <w:sz w:val="18"/>
                <w:szCs w:val="20"/>
                <w:highlight w:val="yellow"/>
                <w:lang w:val="en-US" w:eastAsia="zh-CN" w:bidi="ar"/>
              </w:rPr>
              <w:t>FR1, &gt; 3 GHz</w:t>
            </w:r>
            <w:r>
              <w:rPr>
                <w:rFonts w:hint="default" w:ascii="Arial" w:hAnsi="Arial" w:eastAsia="Times New Roman" w:cs="Times New Roman"/>
                <w:kern w:val="0"/>
                <w:sz w:val="18"/>
                <w:szCs w:val="20"/>
                <w:highlight w:val="yellow"/>
                <w:vertAlign w:val="superscript"/>
                <w:lang w:val="en-US" w:eastAsia="zh-CN" w:bidi="ar"/>
              </w:rPr>
              <w:t>Note</w:t>
            </w:r>
            <w:r>
              <w:rPr>
                <w:rFonts w:hint="default" w:ascii="Arial" w:hAnsi="Arial" w:eastAsia="Times New Roman" w:cs="Times New Roman"/>
                <w:kern w:val="0"/>
                <w:sz w:val="18"/>
                <w:szCs w:val="20"/>
                <w:highlight w:val="yellow"/>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highlight w:val="yellow"/>
                <w:lang w:val="en-US"/>
              </w:rPr>
            </w:pPr>
            <w:r>
              <w:rPr>
                <w:rFonts w:hint="default" w:ascii="Arial" w:hAnsi="Arial" w:eastAsia="Times New Roman" w:cs="Times New Roman"/>
                <w:kern w:val="0"/>
                <w:sz w:val="18"/>
                <w:szCs w:val="20"/>
                <w:highlight w:val="yellow"/>
                <w:lang w:val="en-US" w:eastAsia="zh-CN" w:bidi="ar"/>
              </w:rPr>
              <w:t>8</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en-US" w:bidi="ar"/>
              </w:rPr>
              <w:t>FR2-NTN</w:t>
            </w:r>
            <w:r>
              <w:rPr>
                <w:rFonts w:hint="default" w:ascii="Arial" w:hAnsi="Arial" w:eastAsia="Times New Roman" w:cs="Times New Roman"/>
                <w:kern w:val="0"/>
                <w:sz w:val="18"/>
                <w:szCs w:val="20"/>
                <w:vertAlign w:val="superscript"/>
                <w:lang w:val="en-US" w:eastAsia="en-US" w:bidi="ar"/>
              </w:rPr>
              <w:t>Note 2</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64</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24"/>
                <w:szCs w:val="20"/>
                <w:lang w:val="en-US" w:eastAsia="zh-CN" w:bidi="ar"/>
              </w:rPr>
              <w:tab/>
            </w:r>
            <w:r>
              <w:rPr>
                <w:rFonts w:hint="default" w:ascii="Arial" w:hAnsi="Arial" w:eastAsia="Times New Roman" w:cs="Times New Roman"/>
                <w:kern w:val="0"/>
                <w:sz w:val="18"/>
                <w:szCs w:val="20"/>
                <w:lang w:val="en-US" w:eastAsia="zh-CN" w:bidi="ar"/>
              </w:rPr>
              <w:t>For unpaired spectrum operation with Case C - 30 kHz SCS, 3 GHz is replaced by 1.88 GHz, as specified in clause 4.1 in TS 38.213 [3].</w:t>
            </w:r>
          </w:p>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NOTE 2: NTN bands within this frequency range are regarded as a FR2-1 band when references from other specifications unless otherwise stated.</w:t>
            </w:r>
          </w:p>
        </w:tc>
      </w:tr>
    </w:tbl>
    <w:p>
      <w:pPr>
        <w:spacing w:beforeLines="50"/>
        <w:jc w:val="both"/>
        <w:rPr>
          <w:rFonts w:hint="eastAsia"/>
          <w:lang w:val="en-US" w:eastAsia="zh-CN"/>
        </w:rPr>
      </w:pPr>
      <w:r>
        <w:rPr>
          <w:rFonts w:hint="eastAsia"/>
          <w:lang w:val="en-US" w:eastAsia="zh-CN"/>
        </w:rPr>
        <w:t>The number of L</w:t>
      </w:r>
      <w:r>
        <w:rPr>
          <w:rFonts w:hint="eastAsia"/>
          <w:vertAlign w:val="subscript"/>
          <w:lang w:val="en-US" w:eastAsia="zh-CN"/>
        </w:rPr>
        <w:t>Max</w:t>
      </w:r>
      <w:r>
        <w:rPr>
          <w:rFonts w:hint="eastAsia"/>
          <w:lang w:val="en-US" w:eastAsia="zh-CN"/>
        </w:rPr>
        <w:t xml:space="preserve"> depends on carrier frequency range of PCell, we have already agreed mobile VSAT UEs are served by GSO or NGSO in FR1- NTN numerology, that is, the frequency range of Ku band is not changed and larger than 3GHz. Consequently, the number of L</w:t>
      </w:r>
      <w:r>
        <w:rPr>
          <w:rFonts w:hint="eastAsia"/>
          <w:vertAlign w:val="subscript"/>
          <w:lang w:val="en-US" w:eastAsia="zh-CN"/>
        </w:rPr>
        <w:t>Max</w:t>
      </w:r>
      <w:r>
        <w:rPr>
          <w:rFonts w:hint="eastAsia"/>
          <w:lang w:val="en-US" w:eastAsia="zh-CN"/>
        </w:rPr>
        <w:t xml:space="preserve"> shall be only 8 in FR1 for Ku band. </w:t>
      </w:r>
    </w:p>
    <w:p>
      <w:pPr>
        <w:spacing w:beforeLines="50"/>
        <w:jc w:val="both"/>
        <w:rPr>
          <w:rFonts w:hint="eastAsia"/>
          <w:lang w:val="en-US" w:eastAsia="zh-CN"/>
        </w:rPr>
      </w:pPr>
      <w:r>
        <w:rPr>
          <w:rFonts w:hint="eastAsia"/>
          <w:lang w:val="en-US" w:eastAsia="zh-CN"/>
        </w:rPr>
        <w:t>To our understanding, we shall add one note in core requirements for VSAT UE on Ku band: For Ku band NTN, Lmax shall be defined as 8 not 4.</w:t>
      </w:r>
    </w:p>
    <w:p>
      <w:pPr>
        <w:spacing w:beforeLines="50"/>
        <w:jc w:val="both"/>
        <w:rPr>
          <w:rFonts w:hint="default"/>
          <w:lang w:val="en-US" w:eastAsia="zh-CN"/>
        </w:rPr>
      </w:pPr>
      <w:r>
        <w:rPr>
          <w:rFonts w:hint="eastAsia"/>
          <w:lang w:val="en-US" w:eastAsia="zh-CN"/>
        </w:rPr>
        <w:t>For minimum requirements, to our understanding, the legacy values could be reused. However, we shall distinguish the Ku band NTN supporting FR1 and FR2 numerology.</w:t>
      </w:r>
    </w:p>
    <w:p>
      <w:pPr>
        <w:spacing w:beforeLines="50"/>
        <w:jc w:val="both"/>
        <w:rPr>
          <w:rFonts w:hint="eastAsia"/>
          <w:b/>
          <w:bCs/>
          <w:lang w:val="en-US" w:eastAsia="zh-CN"/>
        </w:rPr>
      </w:pPr>
      <w:r>
        <w:rPr>
          <w:rFonts w:hint="eastAsia"/>
          <w:b/>
          <w:bCs/>
          <w:lang w:val="en-US" w:eastAsia="zh-CN"/>
        </w:rPr>
        <w:t>Observation 4: The number of L</w:t>
      </w:r>
      <w:r>
        <w:rPr>
          <w:rFonts w:hint="eastAsia"/>
          <w:b/>
          <w:bCs/>
          <w:vertAlign w:val="subscript"/>
          <w:lang w:val="en-US" w:eastAsia="zh-CN"/>
        </w:rPr>
        <w:t>Max</w:t>
      </w:r>
      <w:r>
        <w:rPr>
          <w:rFonts w:hint="eastAsia"/>
          <w:b/>
          <w:bCs/>
          <w:lang w:val="en-US" w:eastAsia="zh-CN"/>
        </w:rPr>
        <w:t xml:space="preserve"> depends on carrier frequency range of PCell.</w:t>
      </w:r>
    </w:p>
    <w:p>
      <w:pPr>
        <w:spacing w:beforeLines="50"/>
        <w:jc w:val="both"/>
        <w:rPr>
          <w:rFonts w:hint="eastAsia"/>
          <w:b/>
          <w:bCs/>
          <w:lang w:val="en-US" w:eastAsia="zh-CN"/>
        </w:rPr>
      </w:pPr>
      <w:r>
        <w:rPr>
          <w:rFonts w:hint="eastAsia"/>
          <w:b/>
          <w:bCs/>
          <w:lang w:val="en-US" w:eastAsia="zh-CN"/>
        </w:rPr>
        <w:t>Observation 5: The frequency range of Ku band is not changed and larger than 3GHz.</w:t>
      </w:r>
    </w:p>
    <w:p>
      <w:pPr>
        <w:spacing w:beforeLines="50"/>
        <w:jc w:val="both"/>
        <w:rPr>
          <w:rFonts w:hint="eastAsia" w:eastAsia="宋体"/>
          <w:b/>
          <w:bCs/>
          <w:color w:val="000000" w:themeColor="text1"/>
          <w:lang w:val="en-US" w:eastAsia="zh-CN"/>
          <w14:textFill>
            <w14:solidFill>
              <w14:schemeClr w14:val="tx1"/>
            </w14:solidFill>
          </w14:textFill>
        </w:rPr>
      </w:pPr>
      <w:r>
        <w:rPr>
          <w:rFonts w:hint="eastAsia"/>
          <w:b/>
          <w:bCs/>
          <w:lang w:val="en-US" w:eastAsia="zh-CN"/>
        </w:rPr>
        <w:t xml:space="preserve">Proposal 5: </w:t>
      </w:r>
      <w:r>
        <w:rPr>
          <w:rFonts w:eastAsia="宋体"/>
          <w:b/>
          <w:bCs/>
          <w:color w:val="000000" w:themeColor="text1"/>
          <w:lang w:val="en-GB"/>
          <w14:textFill>
            <w14:solidFill>
              <w14:schemeClr w14:val="tx1"/>
            </w14:solidFill>
          </w14:textFill>
        </w:rPr>
        <w:t>L</w:t>
      </w:r>
      <w:r>
        <w:rPr>
          <w:rFonts w:eastAsia="宋体"/>
          <w:b/>
          <w:bCs/>
          <w:color w:val="000000" w:themeColor="text1"/>
          <w:vertAlign w:val="subscript"/>
          <w:lang w:val="en-GB"/>
          <w14:textFill>
            <w14:solidFill>
              <w14:schemeClr w14:val="tx1"/>
            </w14:solidFill>
          </w14:textFill>
        </w:rPr>
        <w:t>Max</w:t>
      </w:r>
      <w:r>
        <w:rPr>
          <w:rFonts w:eastAsia="宋体"/>
          <w:b/>
          <w:bCs/>
          <w:color w:val="000000" w:themeColor="text1"/>
          <w:lang w:val="en-GB"/>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shall be</w:t>
      </w:r>
      <w:r>
        <w:rPr>
          <w:rFonts w:eastAsia="宋体"/>
          <w:b/>
          <w:bCs/>
          <w:color w:val="000000" w:themeColor="text1"/>
          <w:lang w:val="en-GB"/>
          <w14:textFill>
            <w14:solidFill>
              <w14:schemeClr w14:val="tx1"/>
            </w14:solidFill>
          </w14:textFill>
        </w:rPr>
        <w:t xml:space="preserve"> equal to 8 </w:t>
      </w:r>
      <w:r>
        <w:rPr>
          <w:rFonts w:hint="eastAsia" w:eastAsia="宋体"/>
          <w:b/>
          <w:bCs/>
          <w:color w:val="000000" w:themeColor="text1"/>
          <w:lang w:val="en-US" w:eastAsia="zh-CN"/>
          <w14:textFill>
            <w14:solidFill>
              <w14:schemeClr w14:val="tx1"/>
            </w14:solidFill>
          </w14:textFill>
        </w:rPr>
        <w:t xml:space="preserve">not 4 </w:t>
      </w:r>
      <w:r>
        <w:rPr>
          <w:rFonts w:eastAsia="宋体"/>
          <w:b/>
          <w:bCs/>
          <w:color w:val="000000" w:themeColor="text1"/>
          <w:lang w:val="en-GB"/>
          <w14:textFill>
            <w14:solidFill>
              <w14:schemeClr w14:val="tx1"/>
            </w14:solidFill>
          </w14:textFill>
        </w:rPr>
        <w:t>for FR1-NTN</w:t>
      </w:r>
      <w:r>
        <w:rPr>
          <w:rFonts w:hint="eastAsia" w:eastAsia="宋体"/>
          <w:b/>
          <w:bCs/>
          <w:color w:val="000000" w:themeColor="text1"/>
          <w:lang w:val="en-US" w:eastAsia="zh-CN"/>
          <w14:textFill>
            <w14:solidFill>
              <w14:schemeClr w14:val="tx1"/>
            </w14:solidFill>
          </w14:textFill>
        </w:rPr>
        <w:t>.</w:t>
      </w:r>
    </w:p>
    <w:p>
      <w:pPr>
        <w:spacing w:beforeLines="50"/>
        <w:jc w:val="both"/>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Proposal 6: For minimum requirements, the legacy values could be reused. Furthermore, RAN4 shall distinguish the Ku band NTN supporting FR1 and FR2 numerology.</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spacing w:beforeLines="50"/>
        <w:jc w:val="both"/>
        <w:rPr>
          <w:rFonts w:hint="eastAsia"/>
          <w:b/>
          <w:bCs/>
          <w:lang w:val="en-US" w:eastAsia="zh-CN"/>
        </w:rPr>
      </w:pPr>
      <w:r>
        <w:rPr>
          <w:rFonts w:hint="eastAsia"/>
          <w:b/>
          <w:bCs/>
          <w:lang w:val="en-US" w:eastAsia="zh-CN"/>
        </w:rPr>
        <w:t>Observation 1: Section 3.6.12 is a kind of high level description without any details.</w:t>
      </w:r>
    </w:p>
    <w:p>
      <w:pPr>
        <w:spacing w:beforeLines="50"/>
        <w:jc w:val="both"/>
        <w:rPr>
          <w:rFonts w:hint="default"/>
          <w:b/>
          <w:bCs/>
          <w:lang w:val="en-US" w:eastAsia="zh-CN"/>
        </w:rPr>
      </w:pPr>
      <w:r>
        <w:rPr>
          <w:rFonts w:hint="eastAsia"/>
          <w:b/>
          <w:bCs/>
          <w:lang w:val="en-US" w:eastAsia="zh-CN"/>
        </w:rPr>
        <w:t>Proposal 1: It is not necessary to update the applicability in section 3.6.12.</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Observation 2: In legacy NTN discussion, RAN4 defined the interval between adjacent epoch time as LEO 2.56s and GEO 10.24s, the interval between adjacent epoch time is defined in test case.</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b/>
          <w:bCs/>
          <w:lang w:val="en-US" w:eastAsia="zh-CN"/>
        </w:rPr>
      </w:pPr>
      <w:r>
        <w:rPr>
          <w:rFonts w:hint="eastAsia"/>
          <w:b/>
          <w:bCs/>
          <w:lang w:val="en-US" w:eastAsia="zh-CN"/>
        </w:rPr>
        <w:t xml:space="preserve">Observation 3: The interval between adjacent epoch times of LEO is 2.56s. </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sz w:val="21"/>
          <w:szCs w:val="21"/>
          <w:lang w:val="en-US" w:eastAsia="zh-CN"/>
        </w:rPr>
      </w:pPr>
      <w:r>
        <w:rPr>
          <w:rFonts w:hint="eastAsia"/>
          <w:b/>
          <w:bCs/>
          <w:lang w:val="en-US" w:eastAsia="zh-CN"/>
        </w:rPr>
        <w:t>Proposal 2: T</w:t>
      </w:r>
      <w:r>
        <w:rPr>
          <w:rFonts w:hint="eastAsia" w:eastAsia="宋体"/>
          <w:b/>
          <w:bCs/>
          <w:sz w:val="21"/>
          <w:szCs w:val="21"/>
          <w:lang w:val="en-US" w:eastAsia="zh-CN"/>
        </w:rPr>
        <w:t xml:space="preserve">he side condition shall be added in test cases and the value for LEO can follow the legacy value, which is 2.56s </w:t>
      </w:r>
      <w:r>
        <w:rPr>
          <w:b/>
          <w:bCs/>
          <w:sz w:val="21"/>
          <w:szCs w:val="21"/>
        </w:rPr>
        <w:t>.</w:t>
      </w:r>
    </w:p>
    <w:p>
      <w:pPr>
        <w:jc w:val="both"/>
        <w:rPr>
          <w:rFonts w:hint="eastAsia"/>
          <w:b/>
          <w:bCs/>
          <w:lang w:val="en-US" w:eastAsia="zh-CN"/>
        </w:rPr>
      </w:pPr>
      <w:r>
        <w:rPr>
          <w:rFonts w:hint="eastAsia"/>
          <w:b/>
          <w:bCs/>
          <w:lang w:val="en-US" w:eastAsia="zh-CN"/>
        </w:rPr>
        <w:t>Proposal 3: RAN4 shall not create inter-satellite cell reselection requirements for VSAT UEs on Ku bands in R19.</w:t>
      </w:r>
    </w:p>
    <w:p>
      <w:pPr>
        <w:spacing w:beforeLines="50"/>
        <w:jc w:val="both"/>
        <w:rPr>
          <w:rFonts w:hint="default"/>
          <w:b/>
          <w:bCs/>
          <w:lang w:val="en-US" w:eastAsia="zh-CN"/>
        </w:rPr>
      </w:pPr>
      <w:r>
        <w:rPr>
          <w:rFonts w:hint="eastAsia"/>
          <w:b/>
          <w:bCs/>
          <w:lang w:val="en-US" w:eastAsia="zh-CN"/>
        </w:rPr>
        <w:t>Proposal 4: RAN4 shall consider satellite switching with re-sync for VSAT UE operating in FR1 NTN numerology.</w:t>
      </w:r>
    </w:p>
    <w:p>
      <w:pPr>
        <w:spacing w:beforeLines="50"/>
        <w:jc w:val="both"/>
        <w:rPr>
          <w:rFonts w:hint="eastAsia"/>
          <w:b/>
          <w:bCs/>
          <w:lang w:val="en-US" w:eastAsia="zh-CN"/>
        </w:rPr>
      </w:pPr>
      <w:r>
        <w:rPr>
          <w:rFonts w:hint="eastAsia"/>
          <w:b/>
          <w:bCs/>
          <w:lang w:val="en-US" w:eastAsia="zh-CN"/>
        </w:rPr>
        <w:t>Observation 4: The number of L</w:t>
      </w:r>
      <w:r>
        <w:rPr>
          <w:rFonts w:hint="eastAsia"/>
          <w:b/>
          <w:bCs/>
          <w:vertAlign w:val="subscript"/>
          <w:lang w:val="en-US" w:eastAsia="zh-CN"/>
        </w:rPr>
        <w:t>Max</w:t>
      </w:r>
      <w:r>
        <w:rPr>
          <w:rFonts w:hint="eastAsia"/>
          <w:b/>
          <w:bCs/>
          <w:lang w:val="en-US" w:eastAsia="zh-CN"/>
        </w:rPr>
        <w:t xml:space="preserve"> depends on carrier frequency range of PCell.</w:t>
      </w:r>
    </w:p>
    <w:p>
      <w:pPr>
        <w:spacing w:beforeLines="50"/>
        <w:jc w:val="both"/>
        <w:rPr>
          <w:rFonts w:hint="eastAsia"/>
          <w:b/>
          <w:bCs/>
          <w:lang w:val="en-US" w:eastAsia="zh-CN"/>
        </w:rPr>
      </w:pPr>
      <w:r>
        <w:rPr>
          <w:rFonts w:hint="eastAsia"/>
          <w:b/>
          <w:bCs/>
          <w:lang w:val="en-US" w:eastAsia="zh-CN"/>
        </w:rPr>
        <w:t>Observation 5: The frequency range of Ku band is not changed and larger than 3GHz.</w:t>
      </w:r>
    </w:p>
    <w:p>
      <w:pPr>
        <w:spacing w:beforeLines="50"/>
        <w:jc w:val="both"/>
        <w:rPr>
          <w:rFonts w:hint="eastAsia" w:eastAsia="宋体"/>
          <w:b/>
          <w:bCs/>
          <w:color w:val="000000" w:themeColor="text1"/>
          <w:lang w:val="en-US" w:eastAsia="zh-CN"/>
          <w14:textFill>
            <w14:solidFill>
              <w14:schemeClr w14:val="tx1"/>
            </w14:solidFill>
          </w14:textFill>
        </w:rPr>
      </w:pPr>
      <w:r>
        <w:rPr>
          <w:rFonts w:hint="eastAsia"/>
          <w:b/>
          <w:bCs/>
          <w:lang w:val="en-US" w:eastAsia="zh-CN"/>
        </w:rPr>
        <w:t xml:space="preserve">Proposal 5: </w:t>
      </w:r>
      <w:r>
        <w:rPr>
          <w:rFonts w:eastAsia="宋体"/>
          <w:b/>
          <w:bCs/>
          <w:color w:val="000000" w:themeColor="text1"/>
          <w:lang w:val="en-GB"/>
          <w14:textFill>
            <w14:solidFill>
              <w14:schemeClr w14:val="tx1"/>
            </w14:solidFill>
          </w14:textFill>
        </w:rPr>
        <w:t>L</w:t>
      </w:r>
      <w:r>
        <w:rPr>
          <w:rFonts w:eastAsia="宋体"/>
          <w:b/>
          <w:bCs/>
          <w:color w:val="000000" w:themeColor="text1"/>
          <w:vertAlign w:val="subscript"/>
          <w:lang w:val="en-GB"/>
          <w14:textFill>
            <w14:solidFill>
              <w14:schemeClr w14:val="tx1"/>
            </w14:solidFill>
          </w14:textFill>
        </w:rPr>
        <w:t>Max</w:t>
      </w:r>
      <w:r>
        <w:rPr>
          <w:rFonts w:eastAsia="宋体"/>
          <w:b/>
          <w:bCs/>
          <w:color w:val="000000" w:themeColor="text1"/>
          <w:lang w:val="en-GB"/>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shall be</w:t>
      </w:r>
      <w:r>
        <w:rPr>
          <w:rFonts w:eastAsia="宋体"/>
          <w:b/>
          <w:bCs/>
          <w:color w:val="000000" w:themeColor="text1"/>
          <w:lang w:val="en-GB"/>
          <w14:textFill>
            <w14:solidFill>
              <w14:schemeClr w14:val="tx1"/>
            </w14:solidFill>
          </w14:textFill>
        </w:rPr>
        <w:t xml:space="preserve"> equal to 8 for FR1-NTN</w:t>
      </w:r>
      <w:r>
        <w:rPr>
          <w:rFonts w:hint="eastAsia" w:eastAsia="宋体"/>
          <w:b/>
          <w:bCs/>
          <w:color w:val="000000" w:themeColor="text1"/>
          <w:lang w:val="en-US" w:eastAsia="zh-CN"/>
          <w14:textFill>
            <w14:solidFill>
              <w14:schemeClr w14:val="tx1"/>
            </w14:solidFill>
          </w14:textFill>
        </w:rPr>
        <w:t>.</w:t>
      </w:r>
    </w:p>
    <w:p>
      <w:pPr>
        <w:spacing w:beforeLines="50"/>
        <w:jc w:val="both"/>
        <w:rPr>
          <w:rFonts w:hint="eastAsia"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Proposal 6: For minimum requirements, the legacy values could be reused. Furthermore, RAN4 shall distinguish the Ku band NTN supporting FR1 and FR2 numerology.</w:t>
      </w:r>
    </w:p>
    <w:p>
      <w:pPr>
        <w:pStyle w:val="77"/>
        <w:numPr>
          <w:ilvl w:val="0"/>
          <w:numId w:val="0"/>
        </w:numPr>
        <w:ind w:left="360" w:hanging="360"/>
        <w:rPr>
          <w:lang w:val="en-US"/>
        </w:rPr>
      </w:pPr>
      <w:r>
        <w:rPr>
          <w:lang w:val="en-US"/>
        </w:rPr>
        <w:t>References</w:t>
      </w:r>
    </w:p>
    <w:p>
      <w:pPr>
        <w:numPr>
          <w:ilvl w:val="0"/>
          <w:numId w:val="6"/>
        </w:numPr>
        <w:rPr>
          <w:rFonts w:hint="eastAsia"/>
          <w:lang w:val="en-US" w:eastAsia="zh-CN"/>
        </w:rPr>
      </w:pPr>
      <w:bookmarkStart w:id="3" w:name="_Ref114500673"/>
      <w:bookmarkEnd w:id="3"/>
      <w:r>
        <w:t>RP-2</w:t>
      </w:r>
      <w:r>
        <w:rPr>
          <w:rFonts w:hint="eastAsia" w:eastAsia="宋体"/>
          <w:lang w:val="en-US" w:eastAsia="zh-CN"/>
        </w:rPr>
        <w:t>43314</w:t>
      </w:r>
      <w:r>
        <w:rPr>
          <w:rFonts w:hint="eastAsia"/>
          <w:lang w:eastAsia="zh-CN"/>
        </w:rPr>
        <w:t>,</w:t>
      </w:r>
      <w:r>
        <w:rPr>
          <w:lang w:eastAsia="zh-CN"/>
        </w:rPr>
        <w:t xml:space="preserve"> </w:t>
      </w:r>
      <w:r>
        <w:rPr>
          <w:rFonts w:hint="eastAsia"/>
          <w:lang w:eastAsia="zh-CN"/>
        </w:rPr>
        <w:t xml:space="preserve">Revised WID: </w:t>
      </w:r>
      <w:r>
        <w:rPr>
          <w:rFonts w:hint="eastAsia"/>
          <w:lang w:val="en-US" w:eastAsia="zh-CN"/>
        </w:rPr>
        <w:t>Introduction of Ku bands for NR NTN.</w:t>
      </w:r>
    </w:p>
    <w:p>
      <w:pPr>
        <w:numPr>
          <w:ilvl w:val="0"/>
          <w:numId w:val="6"/>
        </w:numPr>
        <w:rPr>
          <w:rFonts w:hint="default"/>
          <w:lang w:val="en-US" w:eastAsia="zh-CN"/>
        </w:rPr>
      </w:pPr>
      <w:r>
        <w:rPr>
          <w:rFonts w:hint="eastAsia"/>
          <w:lang w:val="en-US" w:eastAsia="zh-CN"/>
        </w:rPr>
        <w:t>R4-2504897, WF on RRM requirements for NR_NTN_Ku_bands, Apple.</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0002A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PMingLiU">
    <w:altName w:val="Microsoft JhengHe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A3B31"/>
    <w:multiLevelType w:val="multilevel"/>
    <w:tmpl w:val="925A3B3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1F8AB0F9"/>
    <w:multiLevelType w:val="multilevel"/>
    <w:tmpl w:val="1F8AB0F9"/>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6FF9DC81"/>
    <w:multiLevelType w:val="singleLevel"/>
    <w:tmpl w:val="6FF9DC81"/>
    <w:lvl w:ilvl="0" w:tentative="0">
      <w:start w:val="1"/>
      <w:numFmt w:val="decimal"/>
      <w:suff w:val="space"/>
      <w:lvlText w:val="[%1]"/>
      <w:lvlJc w:val="left"/>
    </w:lvl>
  </w:abstractNum>
  <w:abstractNum w:abstractNumId="5">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20BE2"/>
    <w:rsid w:val="0033338C"/>
    <w:rsid w:val="0035462D"/>
    <w:rsid w:val="00361FF5"/>
    <w:rsid w:val="00372470"/>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7FE"/>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8F431E"/>
    <w:rsid w:val="0090271F"/>
    <w:rsid w:val="00902E23"/>
    <w:rsid w:val="009114D7"/>
    <w:rsid w:val="0091348E"/>
    <w:rsid w:val="00917CCB"/>
    <w:rsid w:val="00942EC2"/>
    <w:rsid w:val="00961F49"/>
    <w:rsid w:val="00973023"/>
    <w:rsid w:val="0098113E"/>
    <w:rsid w:val="00985F99"/>
    <w:rsid w:val="009B011C"/>
    <w:rsid w:val="009C3E5A"/>
    <w:rsid w:val="009F37B7"/>
    <w:rsid w:val="00A10F02"/>
    <w:rsid w:val="00A164B4"/>
    <w:rsid w:val="00A26956"/>
    <w:rsid w:val="00A27486"/>
    <w:rsid w:val="00A53724"/>
    <w:rsid w:val="00A56066"/>
    <w:rsid w:val="00A73129"/>
    <w:rsid w:val="00A82346"/>
    <w:rsid w:val="00A92BA1"/>
    <w:rsid w:val="00A95C70"/>
    <w:rsid w:val="00A962A2"/>
    <w:rsid w:val="00AC6BC6"/>
    <w:rsid w:val="00AD1CB4"/>
    <w:rsid w:val="00AE65E2"/>
    <w:rsid w:val="00B15449"/>
    <w:rsid w:val="00B20B26"/>
    <w:rsid w:val="00B55938"/>
    <w:rsid w:val="00B66DD7"/>
    <w:rsid w:val="00B67352"/>
    <w:rsid w:val="00B81824"/>
    <w:rsid w:val="00B93086"/>
    <w:rsid w:val="00B93FB3"/>
    <w:rsid w:val="00BA19ED"/>
    <w:rsid w:val="00BA4B8D"/>
    <w:rsid w:val="00BB52C2"/>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11039"/>
    <w:rsid w:val="01536085"/>
    <w:rsid w:val="0158163D"/>
    <w:rsid w:val="01590644"/>
    <w:rsid w:val="015E5540"/>
    <w:rsid w:val="01652E48"/>
    <w:rsid w:val="018F1743"/>
    <w:rsid w:val="018F25C8"/>
    <w:rsid w:val="01906A5B"/>
    <w:rsid w:val="01907C39"/>
    <w:rsid w:val="01A050D6"/>
    <w:rsid w:val="01BF1FED"/>
    <w:rsid w:val="01CB4B95"/>
    <w:rsid w:val="01D1338A"/>
    <w:rsid w:val="01E70C97"/>
    <w:rsid w:val="01EA15CF"/>
    <w:rsid w:val="020172F7"/>
    <w:rsid w:val="0227513D"/>
    <w:rsid w:val="023A64A7"/>
    <w:rsid w:val="02402E7C"/>
    <w:rsid w:val="024205C1"/>
    <w:rsid w:val="02505886"/>
    <w:rsid w:val="02667EA7"/>
    <w:rsid w:val="027F2CA3"/>
    <w:rsid w:val="029011A2"/>
    <w:rsid w:val="029119C5"/>
    <w:rsid w:val="029C2FAD"/>
    <w:rsid w:val="02A03627"/>
    <w:rsid w:val="02A602E6"/>
    <w:rsid w:val="02AE5D6F"/>
    <w:rsid w:val="02BB37DF"/>
    <w:rsid w:val="02BD4751"/>
    <w:rsid w:val="02DB4554"/>
    <w:rsid w:val="02EC4357"/>
    <w:rsid w:val="02EE768C"/>
    <w:rsid w:val="02FA1082"/>
    <w:rsid w:val="031778E0"/>
    <w:rsid w:val="0327096F"/>
    <w:rsid w:val="032A315A"/>
    <w:rsid w:val="03481CC2"/>
    <w:rsid w:val="034E163D"/>
    <w:rsid w:val="034F527C"/>
    <w:rsid w:val="035E7A94"/>
    <w:rsid w:val="037A1871"/>
    <w:rsid w:val="038E7FF3"/>
    <w:rsid w:val="03983AC0"/>
    <w:rsid w:val="03A1038B"/>
    <w:rsid w:val="03B3498A"/>
    <w:rsid w:val="03BF3D9F"/>
    <w:rsid w:val="03C80AD2"/>
    <w:rsid w:val="03C95263"/>
    <w:rsid w:val="03D31FB0"/>
    <w:rsid w:val="03EF3B00"/>
    <w:rsid w:val="03F0584F"/>
    <w:rsid w:val="03FB5627"/>
    <w:rsid w:val="04076F95"/>
    <w:rsid w:val="040E43A3"/>
    <w:rsid w:val="041C7AF3"/>
    <w:rsid w:val="04242812"/>
    <w:rsid w:val="04383CC9"/>
    <w:rsid w:val="04421BA4"/>
    <w:rsid w:val="04455C06"/>
    <w:rsid w:val="044B12E0"/>
    <w:rsid w:val="045E041F"/>
    <w:rsid w:val="046301A2"/>
    <w:rsid w:val="046D095B"/>
    <w:rsid w:val="04727A0B"/>
    <w:rsid w:val="04732FB8"/>
    <w:rsid w:val="04871DE8"/>
    <w:rsid w:val="048F6485"/>
    <w:rsid w:val="04A12403"/>
    <w:rsid w:val="04A45BAD"/>
    <w:rsid w:val="04A815F7"/>
    <w:rsid w:val="04AD06A4"/>
    <w:rsid w:val="04BD1E3A"/>
    <w:rsid w:val="04EF7AAD"/>
    <w:rsid w:val="04F0022B"/>
    <w:rsid w:val="050C7718"/>
    <w:rsid w:val="05214F03"/>
    <w:rsid w:val="053F6A98"/>
    <w:rsid w:val="0555772A"/>
    <w:rsid w:val="055E02FB"/>
    <w:rsid w:val="055E4EBB"/>
    <w:rsid w:val="056A3BE2"/>
    <w:rsid w:val="05AE2916"/>
    <w:rsid w:val="05B105BF"/>
    <w:rsid w:val="05B1379B"/>
    <w:rsid w:val="05C6466C"/>
    <w:rsid w:val="05CA02F3"/>
    <w:rsid w:val="05DB67C3"/>
    <w:rsid w:val="05DE172A"/>
    <w:rsid w:val="05E84F40"/>
    <w:rsid w:val="05F02736"/>
    <w:rsid w:val="05F24812"/>
    <w:rsid w:val="05FC3F93"/>
    <w:rsid w:val="06026AB1"/>
    <w:rsid w:val="060D0D66"/>
    <w:rsid w:val="062C2061"/>
    <w:rsid w:val="06311BAC"/>
    <w:rsid w:val="065345F9"/>
    <w:rsid w:val="067C67DB"/>
    <w:rsid w:val="068158A4"/>
    <w:rsid w:val="06895B05"/>
    <w:rsid w:val="068E6EF2"/>
    <w:rsid w:val="069071A1"/>
    <w:rsid w:val="06910540"/>
    <w:rsid w:val="06916ADD"/>
    <w:rsid w:val="06D870D9"/>
    <w:rsid w:val="06E645CC"/>
    <w:rsid w:val="07007517"/>
    <w:rsid w:val="07073FA3"/>
    <w:rsid w:val="07171EC2"/>
    <w:rsid w:val="0726771F"/>
    <w:rsid w:val="072F7FC6"/>
    <w:rsid w:val="0732584E"/>
    <w:rsid w:val="07390858"/>
    <w:rsid w:val="073F724E"/>
    <w:rsid w:val="07514512"/>
    <w:rsid w:val="075A7EF6"/>
    <w:rsid w:val="076202A2"/>
    <w:rsid w:val="07653481"/>
    <w:rsid w:val="07666F25"/>
    <w:rsid w:val="076A2A73"/>
    <w:rsid w:val="07AE506C"/>
    <w:rsid w:val="07C22AAD"/>
    <w:rsid w:val="07C3764D"/>
    <w:rsid w:val="07D3662C"/>
    <w:rsid w:val="07E268EA"/>
    <w:rsid w:val="07F66AC5"/>
    <w:rsid w:val="08336294"/>
    <w:rsid w:val="0833764C"/>
    <w:rsid w:val="08380F8C"/>
    <w:rsid w:val="084677D5"/>
    <w:rsid w:val="0848005E"/>
    <w:rsid w:val="084B1A9E"/>
    <w:rsid w:val="084C657D"/>
    <w:rsid w:val="084D12F0"/>
    <w:rsid w:val="084F7150"/>
    <w:rsid w:val="086F3665"/>
    <w:rsid w:val="087B6B61"/>
    <w:rsid w:val="087E40F9"/>
    <w:rsid w:val="08916AA8"/>
    <w:rsid w:val="089F664F"/>
    <w:rsid w:val="08A203F3"/>
    <w:rsid w:val="08AF00C1"/>
    <w:rsid w:val="08B531C0"/>
    <w:rsid w:val="08BB1078"/>
    <w:rsid w:val="08BD1F16"/>
    <w:rsid w:val="08D53034"/>
    <w:rsid w:val="08DA28B3"/>
    <w:rsid w:val="08DD2BEF"/>
    <w:rsid w:val="08F445A7"/>
    <w:rsid w:val="0903652D"/>
    <w:rsid w:val="090556C6"/>
    <w:rsid w:val="09097FE0"/>
    <w:rsid w:val="09104DCD"/>
    <w:rsid w:val="092060A3"/>
    <w:rsid w:val="09336C26"/>
    <w:rsid w:val="094C40B4"/>
    <w:rsid w:val="094E3C0B"/>
    <w:rsid w:val="095216D9"/>
    <w:rsid w:val="095E38C5"/>
    <w:rsid w:val="095F4CFB"/>
    <w:rsid w:val="09606948"/>
    <w:rsid w:val="096C2283"/>
    <w:rsid w:val="096E0D4F"/>
    <w:rsid w:val="09736AE0"/>
    <w:rsid w:val="097F70D9"/>
    <w:rsid w:val="098F25F4"/>
    <w:rsid w:val="099377E9"/>
    <w:rsid w:val="09A028E1"/>
    <w:rsid w:val="09E30E5D"/>
    <w:rsid w:val="09FE7278"/>
    <w:rsid w:val="0A134329"/>
    <w:rsid w:val="0A143BE1"/>
    <w:rsid w:val="0A286DFB"/>
    <w:rsid w:val="0A5164D1"/>
    <w:rsid w:val="0A537B69"/>
    <w:rsid w:val="0A6C43DE"/>
    <w:rsid w:val="0A9318B7"/>
    <w:rsid w:val="0AB64743"/>
    <w:rsid w:val="0ABC02E8"/>
    <w:rsid w:val="0AC16484"/>
    <w:rsid w:val="0ACB2015"/>
    <w:rsid w:val="0AD20D5E"/>
    <w:rsid w:val="0AD555AC"/>
    <w:rsid w:val="0AED24FC"/>
    <w:rsid w:val="0AFF2EBF"/>
    <w:rsid w:val="0B0F4A80"/>
    <w:rsid w:val="0B106A85"/>
    <w:rsid w:val="0B1B1997"/>
    <w:rsid w:val="0B24532C"/>
    <w:rsid w:val="0B3F6621"/>
    <w:rsid w:val="0B4D2A88"/>
    <w:rsid w:val="0B527B25"/>
    <w:rsid w:val="0B5E0983"/>
    <w:rsid w:val="0B6A4840"/>
    <w:rsid w:val="0B707256"/>
    <w:rsid w:val="0B7129F9"/>
    <w:rsid w:val="0B744B6D"/>
    <w:rsid w:val="0B7E60C9"/>
    <w:rsid w:val="0B8730CC"/>
    <w:rsid w:val="0B927AF3"/>
    <w:rsid w:val="0B994E16"/>
    <w:rsid w:val="0BA069F6"/>
    <w:rsid w:val="0BB6397D"/>
    <w:rsid w:val="0BB64746"/>
    <w:rsid w:val="0BE05B3D"/>
    <w:rsid w:val="0BEF4F2C"/>
    <w:rsid w:val="0BF03462"/>
    <w:rsid w:val="0BF56721"/>
    <w:rsid w:val="0BFE233D"/>
    <w:rsid w:val="0C165A64"/>
    <w:rsid w:val="0C1A3B45"/>
    <w:rsid w:val="0C34437F"/>
    <w:rsid w:val="0C485EB3"/>
    <w:rsid w:val="0C5161F8"/>
    <w:rsid w:val="0C52360D"/>
    <w:rsid w:val="0C5919D1"/>
    <w:rsid w:val="0C7C1976"/>
    <w:rsid w:val="0C7F638D"/>
    <w:rsid w:val="0C89627C"/>
    <w:rsid w:val="0CA556FA"/>
    <w:rsid w:val="0CAA3B0C"/>
    <w:rsid w:val="0CAC6DE2"/>
    <w:rsid w:val="0CBA5E3E"/>
    <w:rsid w:val="0CC5327E"/>
    <w:rsid w:val="0CC82BF8"/>
    <w:rsid w:val="0CCB3B11"/>
    <w:rsid w:val="0CDE55BC"/>
    <w:rsid w:val="0CDF3914"/>
    <w:rsid w:val="0CEA2CF7"/>
    <w:rsid w:val="0CFA5129"/>
    <w:rsid w:val="0CFF59E2"/>
    <w:rsid w:val="0D035130"/>
    <w:rsid w:val="0D23336E"/>
    <w:rsid w:val="0D284B82"/>
    <w:rsid w:val="0D2A42A8"/>
    <w:rsid w:val="0D343FE9"/>
    <w:rsid w:val="0D3A5239"/>
    <w:rsid w:val="0D3A7039"/>
    <w:rsid w:val="0D4356A8"/>
    <w:rsid w:val="0D501A6D"/>
    <w:rsid w:val="0D636B53"/>
    <w:rsid w:val="0D7E2680"/>
    <w:rsid w:val="0D8735F9"/>
    <w:rsid w:val="0D8972A3"/>
    <w:rsid w:val="0D8C5235"/>
    <w:rsid w:val="0D94436C"/>
    <w:rsid w:val="0D980C13"/>
    <w:rsid w:val="0DB13C44"/>
    <w:rsid w:val="0DB40989"/>
    <w:rsid w:val="0DB607B8"/>
    <w:rsid w:val="0DC22600"/>
    <w:rsid w:val="0DC51AC4"/>
    <w:rsid w:val="0DC63EF2"/>
    <w:rsid w:val="0DD75C5E"/>
    <w:rsid w:val="0DE9579A"/>
    <w:rsid w:val="0DFF4B13"/>
    <w:rsid w:val="0E093416"/>
    <w:rsid w:val="0E2D4DCF"/>
    <w:rsid w:val="0E402695"/>
    <w:rsid w:val="0E673CAF"/>
    <w:rsid w:val="0E6B4543"/>
    <w:rsid w:val="0E777792"/>
    <w:rsid w:val="0E797961"/>
    <w:rsid w:val="0E7B1FCA"/>
    <w:rsid w:val="0E880E39"/>
    <w:rsid w:val="0E9D025B"/>
    <w:rsid w:val="0EA3277B"/>
    <w:rsid w:val="0EA8225F"/>
    <w:rsid w:val="0EAA24D5"/>
    <w:rsid w:val="0EB12E2A"/>
    <w:rsid w:val="0ED01837"/>
    <w:rsid w:val="0ED33A29"/>
    <w:rsid w:val="0EF97174"/>
    <w:rsid w:val="0F021563"/>
    <w:rsid w:val="0F0F3D45"/>
    <w:rsid w:val="0F180250"/>
    <w:rsid w:val="0F2550AA"/>
    <w:rsid w:val="0F255367"/>
    <w:rsid w:val="0F266A1B"/>
    <w:rsid w:val="0F2B146F"/>
    <w:rsid w:val="0F2F36F8"/>
    <w:rsid w:val="0F3A116B"/>
    <w:rsid w:val="0F4C6463"/>
    <w:rsid w:val="0F511411"/>
    <w:rsid w:val="0F703346"/>
    <w:rsid w:val="0F80004E"/>
    <w:rsid w:val="0F871EAB"/>
    <w:rsid w:val="0F9F1528"/>
    <w:rsid w:val="0FA6689D"/>
    <w:rsid w:val="0FDF5A14"/>
    <w:rsid w:val="1008703A"/>
    <w:rsid w:val="10126FBC"/>
    <w:rsid w:val="101A497B"/>
    <w:rsid w:val="103809FF"/>
    <w:rsid w:val="10655CF3"/>
    <w:rsid w:val="10764104"/>
    <w:rsid w:val="108230A5"/>
    <w:rsid w:val="10854519"/>
    <w:rsid w:val="10895A07"/>
    <w:rsid w:val="108C64EF"/>
    <w:rsid w:val="1096068D"/>
    <w:rsid w:val="10B951CF"/>
    <w:rsid w:val="10BA53FD"/>
    <w:rsid w:val="10BB3068"/>
    <w:rsid w:val="10C23AFA"/>
    <w:rsid w:val="10D82C05"/>
    <w:rsid w:val="10DF078E"/>
    <w:rsid w:val="10FF2114"/>
    <w:rsid w:val="110E3EB6"/>
    <w:rsid w:val="11131D94"/>
    <w:rsid w:val="111778A8"/>
    <w:rsid w:val="111E4B32"/>
    <w:rsid w:val="1124277B"/>
    <w:rsid w:val="113D59D7"/>
    <w:rsid w:val="11421E5E"/>
    <w:rsid w:val="115958E8"/>
    <w:rsid w:val="11617971"/>
    <w:rsid w:val="11622F64"/>
    <w:rsid w:val="116C0AA4"/>
    <w:rsid w:val="116F4939"/>
    <w:rsid w:val="11846297"/>
    <w:rsid w:val="118660F9"/>
    <w:rsid w:val="119B169F"/>
    <w:rsid w:val="11AD4D58"/>
    <w:rsid w:val="11B67206"/>
    <w:rsid w:val="11BA4661"/>
    <w:rsid w:val="11BA6A1A"/>
    <w:rsid w:val="11E3621C"/>
    <w:rsid w:val="11E411C4"/>
    <w:rsid w:val="11EE75FC"/>
    <w:rsid w:val="11FA2349"/>
    <w:rsid w:val="12044AB3"/>
    <w:rsid w:val="120E0A30"/>
    <w:rsid w:val="120E4E60"/>
    <w:rsid w:val="12124AB5"/>
    <w:rsid w:val="12342A01"/>
    <w:rsid w:val="12381464"/>
    <w:rsid w:val="12533BE9"/>
    <w:rsid w:val="125B1CEE"/>
    <w:rsid w:val="126548EE"/>
    <w:rsid w:val="12817181"/>
    <w:rsid w:val="129E267E"/>
    <w:rsid w:val="129E41E5"/>
    <w:rsid w:val="12AA4BE9"/>
    <w:rsid w:val="12AD464A"/>
    <w:rsid w:val="12C003F7"/>
    <w:rsid w:val="12C7679B"/>
    <w:rsid w:val="12CB658F"/>
    <w:rsid w:val="12CC34CB"/>
    <w:rsid w:val="12D04177"/>
    <w:rsid w:val="12DD774D"/>
    <w:rsid w:val="12E20B88"/>
    <w:rsid w:val="12E85A12"/>
    <w:rsid w:val="12EB04FE"/>
    <w:rsid w:val="12FD3C17"/>
    <w:rsid w:val="13012566"/>
    <w:rsid w:val="13026866"/>
    <w:rsid w:val="131F3842"/>
    <w:rsid w:val="133E4EC4"/>
    <w:rsid w:val="136404F3"/>
    <w:rsid w:val="137E2663"/>
    <w:rsid w:val="13AD48CA"/>
    <w:rsid w:val="13B61E8E"/>
    <w:rsid w:val="13BD2572"/>
    <w:rsid w:val="13BE1FBB"/>
    <w:rsid w:val="13C23A1B"/>
    <w:rsid w:val="13C76244"/>
    <w:rsid w:val="13CF28FB"/>
    <w:rsid w:val="13DA7C15"/>
    <w:rsid w:val="13EA5E5F"/>
    <w:rsid w:val="13FF0D0B"/>
    <w:rsid w:val="14107AE9"/>
    <w:rsid w:val="14175E0A"/>
    <w:rsid w:val="141F1BA5"/>
    <w:rsid w:val="142A2204"/>
    <w:rsid w:val="14446EDD"/>
    <w:rsid w:val="146B26BB"/>
    <w:rsid w:val="1472255F"/>
    <w:rsid w:val="14782396"/>
    <w:rsid w:val="148942E3"/>
    <w:rsid w:val="148B031E"/>
    <w:rsid w:val="14AC25B0"/>
    <w:rsid w:val="14AE0BED"/>
    <w:rsid w:val="14AF303C"/>
    <w:rsid w:val="14BE55AD"/>
    <w:rsid w:val="14E00FC5"/>
    <w:rsid w:val="14E21050"/>
    <w:rsid w:val="14E52CFF"/>
    <w:rsid w:val="14EE2BDA"/>
    <w:rsid w:val="1502113A"/>
    <w:rsid w:val="150D2EFA"/>
    <w:rsid w:val="151308D4"/>
    <w:rsid w:val="151E3433"/>
    <w:rsid w:val="15250257"/>
    <w:rsid w:val="15250840"/>
    <w:rsid w:val="15281376"/>
    <w:rsid w:val="1534197E"/>
    <w:rsid w:val="1538725F"/>
    <w:rsid w:val="15422545"/>
    <w:rsid w:val="155778C6"/>
    <w:rsid w:val="156508EF"/>
    <w:rsid w:val="15693006"/>
    <w:rsid w:val="156A5AB1"/>
    <w:rsid w:val="15716A99"/>
    <w:rsid w:val="157177C3"/>
    <w:rsid w:val="1581047E"/>
    <w:rsid w:val="15890531"/>
    <w:rsid w:val="15895642"/>
    <w:rsid w:val="15A444EB"/>
    <w:rsid w:val="15B0540D"/>
    <w:rsid w:val="15B7532E"/>
    <w:rsid w:val="15C56F14"/>
    <w:rsid w:val="15C84147"/>
    <w:rsid w:val="15CA017F"/>
    <w:rsid w:val="15D71AD5"/>
    <w:rsid w:val="15DC38C2"/>
    <w:rsid w:val="15F23B4A"/>
    <w:rsid w:val="15FC08F6"/>
    <w:rsid w:val="164442E3"/>
    <w:rsid w:val="1646133C"/>
    <w:rsid w:val="165931D9"/>
    <w:rsid w:val="16682D3E"/>
    <w:rsid w:val="167046E9"/>
    <w:rsid w:val="167E382D"/>
    <w:rsid w:val="168143F4"/>
    <w:rsid w:val="16A5066B"/>
    <w:rsid w:val="16C974D4"/>
    <w:rsid w:val="16D43DC5"/>
    <w:rsid w:val="16DB7C16"/>
    <w:rsid w:val="16DC0535"/>
    <w:rsid w:val="16F956D8"/>
    <w:rsid w:val="170716B6"/>
    <w:rsid w:val="17315D5C"/>
    <w:rsid w:val="17474573"/>
    <w:rsid w:val="1748083E"/>
    <w:rsid w:val="174D24DD"/>
    <w:rsid w:val="17505641"/>
    <w:rsid w:val="17553F9F"/>
    <w:rsid w:val="175623CE"/>
    <w:rsid w:val="176538DA"/>
    <w:rsid w:val="178246D4"/>
    <w:rsid w:val="17914610"/>
    <w:rsid w:val="1794775D"/>
    <w:rsid w:val="17A24A7D"/>
    <w:rsid w:val="17C376AD"/>
    <w:rsid w:val="17CB4905"/>
    <w:rsid w:val="17D01F3A"/>
    <w:rsid w:val="17DC7DAF"/>
    <w:rsid w:val="17DD1CB2"/>
    <w:rsid w:val="17DF40F7"/>
    <w:rsid w:val="180224D1"/>
    <w:rsid w:val="180E4FC5"/>
    <w:rsid w:val="18170B93"/>
    <w:rsid w:val="18171331"/>
    <w:rsid w:val="18243C58"/>
    <w:rsid w:val="18396192"/>
    <w:rsid w:val="18466B2E"/>
    <w:rsid w:val="184A4BE3"/>
    <w:rsid w:val="185060EC"/>
    <w:rsid w:val="185A42FA"/>
    <w:rsid w:val="186829A6"/>
    <w:rsid w:val="18870C54"/>
    <w:rsid w:val="189D2207"/>
    <w:rsid w:val="189D4742"/>
    <w:rsid w:val="18A211F6"/>
    <w:rsid w:val="18A45C40"/>
    <w:rsid w:val="18B41D16"/>
    <w:rsid w:val="18D57338"/>
    <w:rsid w:val="18D659D2"/>
    <w:rsid w:val="18D82C9E"/>
    <w:rsid w:val="18E96032"/>
    <w:rsid w:val="18EE62E8"/>
    <w:rsid w:val="18EF6677"/>
    <w:rsid w:val="18F62584"/>
    <w:rsid w:val="18F96461"/>
    <w:rsid w:val="1903629F"/>
    <w:rsid w:val="19116F8E"/>
    <w:rsid w:val="191F13C5"/>
    <w:rsid w:val="192344FC"/>
    <w:rsid w:val="192F5D97"/>
    <w:rsid w:val="19551A74"/>
    <w:rsid w:val="195F7D63"/>
    <w:rsid w:val="197C2433"/>
    <w:rsid w:val="197D1062"/>
    <w:rsid w:val="19933139"/>
    <w:rsid w:val="19976C65"/>
    <w:rsid w:val="19A7610F"/>
    <w:rsid w:val="19AC4F46"/>
    <w:rsid w:val="19B81D23"/>
    <w:rsid w:val="19D57461"/>
    <w:rsid w:val="19E70437"/>
    <w:rsid w:val="19E74602"/>
    <w:rsid w:val="19EE7D0B"/>
    <w:rsid w:val="19FB6BA4"/>
    <w:rsid w:val="19FF7B89"/>
    <w:rsid w:val="1A077D86"/>
    <w:rsid w:val="1A085685"/>
    <w:rsid w:val="1A191F3E"/>
    <w:rsid w:val="1A2244B6"/>
    <w:rsid w:val="1A25452E"/>
    <w:rsid w:val="1A285C6E"/>
    <w:rsid w:val="1A3417B8"/>
    <w:rsid w:val="1A34568A"/>
    <w:rsid w:val="1A4B5CA1"/>
    <w:rsid w:val="1A5163D6"/>
    <w:rsid w:val="1A5204BD"/>
    <w:rsid w:val="1A54768F"/>
    <w:rsid w:val="1A5A669E"/>
    <w:rsid w:val="1A615557"/>
    <w:rsid w:val="1A796C32"/>
    <w:rsid w:val="1A7C7103"/>
    <w:rsid w:val="1AAB563E"/>
    <w:rsid w:val="1AB36C5E"/>
    <w:rsid w:val="1AB9028C"/>
    <w:rsid w:val="1AC56317"/>
    <w:rsid w:val="1AD6319E"/>
    <w:rsid w:val="1AE952DE"/>
    <w:rsid w:val="1B1075FD"/>
    <w:rsid w:val="1B167885"/>
    <w:rsid w:val="1B4B651F"/>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5CD"/>
    <w:rsid w:val="1BBC1606"/>
    <w:rsid w:val="1BC564C2"/>
    <w:rsid w:val="1BCB2744"/>
    <w:rsid w:val="1BD24284"/>
    <w:rsid w:val="1BD91A80"/>
    <w:rsid w:val="1BE641ED"/>
    <w:rsid w:val="1BF14560"/>
    <w:rsid w:val="1BF24F3D"/>
    <w:rsid w:val="1C1D36F1"/>
    <w:rsid w:val="1C247D0B"/>
    <w:rsid w:val="1C291BAA"/>
    <w:rsid w:val="1C386892"/>
    <w:rsid w:val="1C4A05F8"/>
    <w:rsid w:val="1C4A2683"/>
    <w:rsid w:val="1C5D7BFA"/>
    <w:rsid w:val="1C5E6C62"/>
    <w:rsid w:val="1C5F292D"/>
    <w:rsid w:val="1C5F3B2B"/>
    <w:rsid w:val="1C631E26"/>
    <w:rsid w:val="1C6F10B8"/>
    <w:rsid w:val="1C7530BF"/>
    <w:rsid w:val="1C961365"/>
    <w:rsid w:val="1CA23F30"/>
    <w:rsid w:val="1CBC5611"/>
    <w:rsid w:val="1CD22EF6"/>
    <w:rsid w:val="1CD7177C"/>
    <w:rsid w:val="1CDE68ED"/>
    <w:rsid w:val="1CE14471"/>
    <w:rsid w:val="1CE95E52"/>
    <w:rsid w:val="1CEF02A3"/>
    <w:rsid w:val="1CF005FD"/>
    <w:rsid w:val="1CF6531E"/>
    <w:rsid w:val="1CF73467"/>
    <w:rsid w:val="1D0A5C6D"/>
    <w:rsid w:val="1D0B195E"/>
    <w:rsid w:val="1D1E3E53"/>
    <w:rsid w:val="1D22539B"/>
    <w:rsid w:val="1D244763"/>
    <w:rsid w:val="1D3570D5"/>
    <w:rsid w:val="1D3D4708"/>
    <w:rsid w:val="1D48400E"/>
    <w:rsid w:val="1D4E0EB2"/>
    <w:rsid w:val="1D5255A7"/>
    <w:rsid w:val="1D5A2F24"/>
    <w:rsid w:val="1D5C683A"/>
    <w:rsid w:val="1D693FA7"/>
    <w:rsid w:val="1D7B406F"/>
    <w:rsid w:val="1D8F4E65"/>
    <w:rsid w:val="1D977656"/>
    <w:rsid w:val="1DB553DF"/>
    <w:rsid w:val="1DBF1882"/>
    <w:rsid w:val="1DC964EA"/>
    <w:rsid w:val="1DCE009D"/>
    <w:rsid w:val="1DDB7496"/>
    <w:rsid w:val="1DE366AE"/>
    <w:rsid w:val="1DE44254"/>
    <w:rsid w:val="1DF04BC7"/>
    <w:rsid w:val="1DF17BE1"/>
    <w:rsid w:val="1E3A10AF"/>
    <w:rsid w:val="1E3A3326"/>
    <w:rsid w:val="1E4719A3"/>
    <w:rsid w:val="1E5F1F97"/>
    <w:rsid w:val="1E6C5F4E"/>
    <w:rsid w:val="1E773774"/>
    <w:rsid w:val="1E841CFD"/>
    <w:rsid w:val="1E875401"/>
    <w:rsid w:val="1EA65561"/>
    <w:rsid w:val="1EAD4127"/>
    <w:rsid w:val="1EB70BD9"/>
    <w:rsid w:val="1EB8797A"/>
    <w:rsid w:val="1ECD4FF5"/>
    <w:rsid w:val="1EEC719E"/>
    <w:rsid w:val="1EF7018A"/>
    <w:rsid w:val="1F0242AA"/>
    <w:rsid w:val="1F044236"/>
    <w:rsid w:val="1F25251D"/>
    <w:rsid w:val="1F2B5438"/>
    <w:rsid w:val="1F2F41FD"/>
    <w:rsid w:val="1F332069"/>
    <w:rsid w:val="1F390590"/>
    <w:rsid w:val="1F3E5153"/>
    <w:rsid w:val="1F424A01"/>
    <w:rsid w:val="1F484B9B"/>
    <w:rsid w:val="1F48770A"/>
    <w:rsid w:val="1F4C6748"/>
    <w:rsid w:val="1F543A73"/>
    <w:rsid w:val="1F582479"/>
    <w:rsid w:val="1F595467"/>
    <w:rsid w:val="1F5B2F4F"/>
    <w:rsid w:val="1F5C06A1"/>
    <w:rsid w:val="1FB80942"/>
    <w:rsid w:val="1FBB5482"/>
    <w:rsid w:val="2001262E"/>
    <w:rsid w:val="200D64BE"/>
    <w:rsid w:val="20153599"/>
    <w:rsid w:val="201B2789"/>
    <w:rsid w:val="201F4440"/>
    <w:rsid w:val="20256516"/>
    <w:rsid w:val="202F579D"/>
    <w:rsid w:val="204C44A6"/>
    <w:rsid w:val="20584BED"/>
    <w:rsid w:val="20D60AAE"/>
    <w:rsid w:val="20D84C43"/>
    <w:rsid w:val="20DE5B9D"/>
    <w:rsid w:val="20DF61AB"/>
    <w:rsid w:val="20F5066D"/>
    <w:rsid w:val="21061BA2"/>
    <w:rsid w:val="2121427E"/>
    <w:rsid w:val="21262CBA"/>
    <w:rsid w:val="212B1C97"/>
    <w:rsid w:val="212F35F6"/>
    <w:rsid w:val="21361FB5"/>
    <w:rsid w:val="214B3D89"/>
    <w:rsid w:val="21575426"/>
    <w:rsid w:val="215C1F77"/>
    <w:rsid w:val="217414EF"/>
    <w:rsid w:val="217554C8"/>
    <w:rsid w:val="2177769E"/>
    <w:rsid w:val="217E1DFE"/>
    <w:rsid w:val="21D25FF2"/>
    <w:rsid w:val="21E056C0"/>
    <w:rsid w:val="21F70210"/>
    <w:rsid w:val="22105252"/>
    <w:rsid w:val="22344A9E"/>
    <w:rsid w:val="223552C7"/>
    <w:rsid w:val="22363269"/>
    <w:rsid w:val="223C2DAF"/>
    <w:rsid w:val="223E2651"/>
    <w:rsid w:val="224E2864"/>
    <w:rsid w:val="224E39C0"/>
    <w:rsid w:val="226575C4"/>
    <w:rsid w:val="22682C5C"/>
    <w:rsid w:val="226D3EEA"/>
    <w:rsid w:val="226E077B"/>
    <w:rsid w:val="22923DE9"/>
    <w:rsid w:val="22973417"/>
    <w:rsid w:val="229D5794"/>
    <w:rsid w:val="22BF3D00"/>
    <w:rsid w:val="22C1459E"/>
    <w:rsid w:val="22C16F92"/>
    <w:rsid w:val="22C17DB5"/>
    <w:rsid w:val="22C629AC"/>
    <w:rsid w:val="22CB01D1"/>
    <w:rsid w:val="22DD27AA"/>
    <w:rsid w:val="22E96F92"/>
    <w:rsid w:val="22F870EC"/>
    <w:rsid w:val="23032953"/>
    <w:rsid w:val="23060CEA"/>
    <w:rsid w:val="23085EFE"/>
    <w:rsid w:val="230D3451"/>
    <w:rsid w:val="230E5678"/>
    <w:rsid w:val="231074AE"/>
    <w:rsid w:val="23257653"/>
    <w:rsid w:val="23441FFA"/>
    <w:rsid w:val="234B3276"/>
    <w:rsid w:val="23573ECC"/>
    <w:rsid w:val="23626B1C"/>
    <w:rsid w:val="236E03B0"/>
    <w:rsid w:val="23723533"/>
    <w:rsid w:val="23773623"/>
    <w:rsid w:val="2377693D"/>
    <w:rsid w:val="237D6817"/>
    <w:rsid w:val="23904EBC"/>
    <w:rsid w:val="23996B76"/>
    <w:rsid w:val="239D0541"/>
    <w:rsid w:val="239F724D"/>
    <w:rsid w:val="23A43BC8"/>
    <w:rsid w:val="23AB1721"/>
    <w:rsid w:val="23D95FBD"/>
    <w:rsid w:val="23EF0BE1"/>
    <w:rsid w:val="24002E5E"/>
    <w:rsid w:val="2401409C"/>
    <w:rsid w:val="24044127"/>
    <w:rsid w:val="24116F89"/>
    <w:rsid w:val="24175851"/>
    <w:rsid w:val="24435E0A"/>
    <w:rsid w:val="245734DF"/>
    <w:rsid w:val="245A6743"/>
    <w:rsid w:val="246658A8"/>
    <w:rsid w:val="2466751E"/>
    <w:rsid w:val="246A08B9"/>
    <w:rsid w:val="24754B15"/>
    <w:rsid w:val="247F64CC"/>
    <w:rsid w:val="248D420D"/>
    <w:rsid w:val="248F3041"/>
    <w:rsid w:val="24921B27"/>
    <w:rsid w:val="24A0121D"/>
    <w:rsid w:val="24B47257"/>
    <w:rsid w:val="24B97631"/>
    <w:rsid w:val="24BD5AA0"/>
    <w:rsid w:val="24C90419"/>
    <w:rsid w:val="24DC693F"/>
    <w:rsid w:val="24E32289"/>
    <w:rsid w:val="24ED1C1E"/>
    <w:rsid w:val="24F0284D"/>
    <w:rsid w:val="250E20E4"/>
    <w:rsid w:val="25202C91"/>
    <w:rsid w:val="25212B83"/>
    <w:rsid w:val="252331A5"/>
    <w:rsid w:val="25266F92"/>
    <w:rsid w:val="252733A0"/>
    <w:rsid w:val="252C19DC"/>
    <w:rsid w:val="253C437F"/>
    <w:rsid w:val="25425A19"/>
    <w:rsid w:val="25433441"/>
    <w:rsid w:val="25490B3E"/>
    <w:rsid w:val="255C215A"/>
    <w:rsid w:val="255C46D3"/>
    <w:rsid w:val="25614063"/>
    <w:rsid w:val="256F1A53"/>
    <w:rsid w:val="25744759"/>
    <w:rsid w:val="25776C46"/>
    <w:rsid w:val="258B2F2B"/>
    <w:rsid w:val="258B31A0"/>
    <w:rsid w:val="25935964"/>
    <w:rsid w:val="25A14E4D"/>
    <w:rsid w:val="25A17F32"/>
    <w:rsid w:val="25AB3D1C"/>
    <w:rsid w:val="25AD7BE8"/>
    <w:rsid w:val="25B21B15"/>
    <w:rsid w:val="25D90A1B"/>
    <w:rsid w:val="25E22192"/>
    <w:rsid w:val="25E70E85"/>
    <w:rsid w:val="25F332FF"/>
    <w:rsid w:val="25FE37D6"/>
    <w:rsid w:val="26242E36"/>
    <w:rsid w:val="26274BB6"/>
    <w:rsid w:val="263227F8"/>
    <w:rsid w:val="2634261F"/>
    <w:rsid w:val="26356536"/>
    <w:rsid w:val="26405E19"/>
    <w:rsid w:val="264542D6"/>
    <w:rsid w:val="26465658"/>
    <w:rsid w:val="264779F7"/>
    <w:rsid w:val="26552372"/>
    <w:rsid w:val="267A6D2E"/>
    <w:rsid w:val="268B243A"/>
    <w:rsid w:val="269221D6"/>
    <w:rsid w:val="269C627F"/>
    <w:rsid w:val="26A5686B"/>
    <w:rsid w:val="26AA20D3"/>
    <w:rsid w:val="26B43DCE"/>
    <w:rsid w:val="26C705B0"/>
    <w:rsid w:val="26DD3B73"/>
    <w:rsid w:val="26E576C7"/>
    <w:rsid w:val="26E663D1"/>
    <w:rsid w:val="26F04260"/>
    <w:rsid w:val="26F81EB4"/>
    <w:rsid w:val="26FB2F1B"/>
    <w:rsid w:val="271D63E4"/>
    <w:rsid w:val="27310B9A"/>
    <w:rsid w:val="27322F4A"/>
    <w:rsid w:val="27370766"/>
    <w:rsid w:val="273970CB"/>
    <w:rsid w:val="273E1C11"/>
    <w:rsid w:val="273F7D71"/>
    <w:rsid w:val="275265C3"/>
    <w:rsid w:val="276B112C"/>
    <w:rsid w:val="27754A5C"/>
    <w:rsid w:val="27815619"/>
    <w:rsid w:val="279E2679"/>
    <w:rsid w:val="279F554C"/>
    <w:rsid w:val="27D2258D"/>
    <w:rsid w:val="27D65541"/>
    <w:rsid w:val="27E466F0"/>
    <w:rsid w:val="27EC5FCE"/>
    <w:rsid w:val="28277E8C"/>
    <w:rsid w:val="282B0C73"/>
    <w:rsid w:val="283D2292"/>
    <w:rsid w:val="285343B6"/>
    <w:rsid w:val="285C775E"/>
    <w:rsid w:val="286651CF"/>
    <w:rsid w:val="28671C46"/>
    <w:rsid w:val="28817213"/>
    <w:rsid w:val="288B1F91"/>
    <w:rsid w:val="2897657D"/>
    <w:rsid w:val="28A7603E"/>
    <w:rsid w:val="28AB19F4"/>
    <w:rsid w:val="28B30E3A"/>
    <w:rsid w:val="28D71E0B"/>
    <w:rsid w:val="28DC39BE"/>
    <w:rsid w:val="28DD5BCB"/>
    <w:rsid w:val="28E01F8A"/>
    <w:rsid w:val="28F045AC"/>
    <w:rsid w:val="28F85417"/>
    <w:rsid w:val="290E3D0C"/>
    <w:rsid w:val="29115393"/>
    <w:rsid w:val="291D583E"/>
    <w:rsid w:val="29243D56"/>
    <w:rsid w:val="2926654F"/>
    <w:rsid w:val="293B5829"/>
    <w:rsid w:val="294E2BBE"/>
    <w:rsid w:val="29602BC4"/>
    <w:rsid w:val="29754C24"/>
    <w:rsid w:val="299760C7"/>
    <w:rsid w:val="2999350D"/>
    <w:rsid w:val="299E7E78"/>
    <w:rsid w:val="29B759BC"/>
    <w:rsid w:val="29D60A95"/>
    <w:rsid w:val="29D94FA1"/>
    <w:rsid w:val="29E31604"/>
    <w:rsid w:val="29E3388E"/>
    <w:rsid w:val="29F87E04"/>
    <w:rsid w:val="2A1A7BC7"/>
    <w:rsid w:val="2A2D73EC"/>
    <w:rsid w:val="2A2E4CEB"/>
    <w:rsid w:val="2A3B565F"/>
    <w:rsid w:val="2A3F5A89"/>
    <w:rsid w:val="2A4F3BBF"/>
    <w:rsid w:val="2A555F3D"/>
    <w:rsid w:val="2A645B0E"/>
    <w:rsid w:val="2A653259"/>
    <w:rsid w:val="2A8F4841"/>
    <w:rsid w:val="2AA369DD"/>
    <w:rsid w:val="2AAE39DE"/>
    <w:rsid w:val="2AB32B2A"/>
    <w:rsid w:val="2AC55C66"/>
    <w:rsid w:val="2AD06022"/>
    <w:rsid w:val="2AD067C9"/>
    <w:rsid w:val="2AD63975"/>
    <w:rsid w:val="2ADD1B0D"/>
    <w:rsid w:val="2AEC47FC"/>
    <w:rsid w:val="2AF1331E"/>
    <w:rsid w:val="2AF81BE3"/>
    <w:rsid w:val="2AFF23A5"/>
    <w:rsid w:val="2B024C79"/>
    <w:rsid w:val="2B0F5533"/>
    <w:rsid w:val="2B20324F"/>
    <w:rsid w:val="2B361003"/>
    <w:rsid w:val="2B3762A6"/>
    <w:rsid w:val="2B3C6641"/>
    <w:rsid w:val="2B4144E2"/>
    <w:rsid w:val="2B51786F"/>
    <w:rsid w:val="2B532272"/>
    <w:rsid w:val="2B5B0F6E"/>
    <w:rsid w:val="2B925FDF"/>
    <w:rsid w:val="2B97510E"/>
    <w:rsid w:val="2B9970F1"/>
    <w:rsid w:val="2BC43D5D"/>
    <w:rsid w:val="2BD9047F"/>
    <w:rsid w:val="2BE46810"/>
    <w:rsid w:val="2BE501C7"/>
    <w:rsid w:val="2BED2E55"/>
    <w:rsid w:val="2C0028BD"/>
    <w:rsid w:val="2C1738CF"/>
    <w:rsid w:val="2C1945D8"/>
    <w:rsid w:val="2C1B1368"/>
    <w:rsid w:val="2C6420B7"/>
    <w:rsid w:val="2C6C7918"/>
    <w:rsid w:val="2C783906"/>
    <w:rsid w:val="2C7E3B86"/>
    <w:rsid w:val="2CB5787B"/>
    <w:rsid w:val="2CB65D9A"/>
    <w:rsid w:val="2CCA4381"/>
    <w:rsid w:val="2CD30F03"/>
    <w:rsid w:val="2CDE06BA"/>
    <w:rsid w:val="2CDF1B63"/>
    <w:rsid w:val="2CF1389A"/>
    <w:rsid w:val="2CF249BE"/>
    <w:rsid w:val="2CF92346"/>
    <w:rsid w:val="2CFC1554"/>
    <w:rsid w:val="2CFF3512"/>
    <w:rsid w:val="2D013765"/>
    <w:rsid w:val="2D070D62"/>
    <w:rsid w:val="2D0B7148"/>
    <w:rsid w:val="2D17770B"/>
    <w:rsid w:val="2D354DCA"/>
    <w:rsid w:val="2D466457"/>
    <w:rsid w:val="2D48403D"/>
    <w:rsid w:val="2D4C5FFB"/>
    <w:rsid w:val="2D5748B7"/>
    <w:rsid w:val="2D6E6943"/>
    <w:rsid w:val="2D7E4AF7"/>
    <w:rsid w:val="2D8519AC"/>
    <w:rsid w:val="2D87777E"/>
    <w:rsid w:val="2D8E349F"/>
    <w:rsid w:val="2D9469E6"/>
    <w:rsid w:val="2D9D7A77"/>
    <w:rsid w:val="2DAF78FF"/>
    <w:rsid w:val="2DD93F77"/>
    <w:rsid w:val="2DDE7A41"/>
    <w:rsid w:val="2DE116CE"/>
    <w:rsid w:val="2DEF20F0"/>
    <w:rsid w:val="2DFE0672"/>
    <w:rsid w:val="2E041306"/>
    <w:rsid w:val="2E106E4C"/>
    <w:rsid w:val="2E246D3F"/>
    <w:rsid w:val="2E36469A"/>
    <w:rsid w:val="2E3F6F4F"/>
    <w:rsid w:val="2E4C211D"/>
    <w:rsid w:val="2E4D7F49"/>
    <w:rsid w:val="2E4E05E7"/>
    <w:rsid w:val="2E4E1129"/>
    <w:rsid w:val="2E544421"/>
    <w:rsid w:val="2E5A472E"/>
    <w:rsid w:val="2E5B5EA2"/>
    <w:rsid w:val="2E621008"/>
    <w:rsid w:val="2E6446EB"/>
    <w:rsid w:val="2E681DB2"/>
    <w:rsid w:val="2E7F0E61"/>
    <w:rsid w:val="2E7F686F"/>
    <w:rsid w:val="2E870765"/>
    <w:rsid w:val="2E8D0791"/>
    <w:rsid w:val="2E9B39A1"/>
    <w:rsid w:val="2EA94687"/>
    <w:rsid w:val="2EAF6BB3"/>
    <w:rsid w:val="2EE5675B"/>
    <w:rsid w:val="2F047EE8"/>
    <w:rsid w:val="2F082414"/>
    <w:rsid w:val="2F085C75"/>
    <w:rsid w:val="2F2B12A9"/>
    <w:rsid w:val="2F4201CA"/>
    <w:rsid w:val="2F524A74"/>
    <w:rsid w:val="2F5A4B10"/>
    <w:rsid w:val="2F626907"/>
    <w:rsid w:val="2F727CE6"/>
    <w:rsid w:val="2F7505E3"/>
    <w:rsid w:val="2F956224"/>
    <w:rsid w:val="2F9A7BA6"/>
    <w:rsid w:val="2FA23A7C"/>
    <w:rsid w:val="2FA30525"/>
    <w:rsid w:val="2FB275EC"/>
    <w:rsid w:val="2FB449B9"/>
    <w:rsid w:val="2FBD105F"/>
    <w:rsid w:val="2FC73BC7"/>
    <w:rsid w:val="2FCF47FC"/>
    <w:rsid w:val="2FD128B8"/>
    <w:rsid w:val="2FD33F66"/>
    <w:rsid w:val="2FD408E0"/>
    <w:rsid w:val="2FD5001D"/>
    <w:rsid w:val="2FE311E4"/>
    <w:rsid w:val="2FF608DC"/>
    <w:rsid w:val="2FFD3FAC"/>
    <w:rsid w:val="3004586C"/>
    <w:rsid w:val="30067266"/>
    <w:rsid w:val="30160ACC"/>
    <w:rsid w:val="3045081F"/>
    <w:rsid w:val="30455AC0"/>
    <w:rsid w:val="306825DD"/>
    <w:rsid w:val="30696A3C"/>
    <w:rsid w:val="30834BF9"/>
    <w:rsid w:val="30944718"/>
    <w:rsid w:val="309A02D0"/>
    <w:rsid w:val="30B60702"/>
    <w:rsid w:val="30C01078"/>
    <w:rsid w:val="30CF0FD9"/>
    <w:rsid w:val="30F34FAE"/>
    <w:rsid w:val="310A0E65"/>
    <w:rsid w:val="3133127A"/>
    <w:rsid w:val="31353CD7"/>
    <w:rsid w:val="313E3AD9"/>
    <w:rsid w:val="313E620E"/>
    <w:rsid w:val="313E6CDE"/>
    <w:rsid w:val="316F42A9"/>
    <w:rsid w:val="31727F68"/>
    <w:rsid w:val="317662E9"/>
    <w:rsid w:val="317C63D3"/>
    <w:rsid w:val="31954796"/>
    <w:rsid w:val="31962DAE"/>
    <w:rsid w:val="319F0073"/>
    <w:rsid w:val="31B9498A"/>
    <w:rsid w:val="31C433C3"/>
    <w:rsid w:val="31E83834"/>
    <w:rsid w:val="31EE64B9"/>
    <w:rsid w:val="320342B1"/>
    <w:rsid w:val="32044DED"/>
    <w:rsid w:val="32051176"/>
    <w:rsid w:val="320C562E"/>
    <w:rsid w:val="324B22D2"/>
    <w:rsid w:val="32575E9A"/>
    <w:rsid w:val="325C3AF5"/>
    <w:rsid w:val="325C5B7B"/>
    <w:rsid w:val="326B5445"/>
    <w:rsid w:val="327A0FE8"/>
    <w:rsid w:val="329F684F"/>
    <w:rsid w:val="32B26B6D"/>
    <w:rsid w:val="32C92CF9"/>
    <w:rsid w:val="32E16709"/>
    <w:rsid w:val="32EE4440"/>
    <w:rsid w:val="32F96ACA"/>
    <w:rsid w:val="330258B3"/>
    <w:rsid w:val="33054642"/>
    <w:rsid w:val="331007BA"/>
    <w:rsid w:val="33106E3B"/>
    <w:rsid w:val="33294383"/>
    <w:rsid w:val="333E4968"/>
    <w:rsid w:val="333F4524"/>
    <w:rsid w:val="334A28B5"/>
    <w:rsid w:val="334B6519"/>
    <w:rsid w:val="334F5C93"/>
    <w:rsid w:val="335D5DB2"/>
    <w:rsid w:val="33735C77"/>
    <w:rsid w:val="337E28B4"/>
    <w:rsid w:val="33951969"/>
    <w:rsid w:val="339B5E01"/>
    <w:rsid w:val="33A31D7A"/>
    <w:rsid w:val="33D163EF"/>
    <w:rsid w:val="33D43249"/>
    <w:rsid w:val="33D45DFD"/>
    <w:rsid w:val="33DC6622"/>
    <w:rsid w:val="33DF5ABE"/>
    <w:rsid w:val="33E605A3"/>
    <w:rsid w:val="33E706E6"/>
    <w:rsid w:val="33F14703"/>
    <w:rsid w:val="33F7797D"/>
    <w:rsid w:val="33FD22BD"/>
    <w:rsid w:val="3406027F"/>
    <w:rsid w:val="342F3DB9"/>
    <w:rsid w:val="343D3142"/>
    <w:rsid w:val="345A0509"/>
    <w:rsid w:val="345B2367"/>
    <w:rsid w:val="34672008"/>
    <w:rsid w:val="348B5095"/>
    <w:rsid w:val="348D1A8C"/>
    <w:rsid w:val="349C31F7"/>
    <w:rsid w:val="34A54544"/>
    <w:rsid w:val="34AE0539"/>
    <w:rsid w:val="34AF3083"/>
    <w:rsid w:val="34B017ED"/>
    <w:rsid w:val="34C20AA1"/>
    <w:rsid w:val="34CB28F5"/>
    <w:rsid w:val="34CD5068"/>
    <w:rsid w:val="34CE2B5B"/>
    <w:rsid w:val="34D747C2"/>
    <w:rsid w:val="34E944F6"/>
    <w:rsid w:val="34E94AA0"/>
    <w:rsid w:val="34F96E62"/>
    <w:rsid w:val="35072EAD"/>
    <w:rsid w:val="350960B1"/>
    <w:rsid w:val="35150114"/>
    <w:rsid w:val="351608A7"/>
    <w:rsid w:val="35217336"/>
    <w:rsid w:val="3525563E"/>
    <w:rsid w:val="35290A77"/>
    <w:rsid w:val="352A0B4B"/>
    <w:rsid w:val="35356F10"/>
    <w:rsid w:val="354840CB"/>
    <w:rsid w:val="355C013C"/>
    <w:rsid w:val="3565420B"/>
    <w:rsid w:val="356A601B"/>
    <w:rsid w:val="3583595D"/>
    <w:rsid w:val="35841013"/>
    <w:rsid w:val="358B79C9"/>
    <w:rsid w:val="359A00B9"/>
    <w:rsid w:val="35C93DF3"/>
    <w:rsid w:val="35F853BB"/>
    <w:rsid w:val="35FB1676"/>
    <w:rsid w:val="360120A7"/>
    <w:rsid w:val="361526DE"/>
    <w:rsid w:val="36225127"/>
    <w:rsid w:val="36237E20"/>
    <w:rsid w:val="36256291"/>
    <w:rsid w:val="36286678"/>
    <w:rsid w:val="362979CB"/>
    <w:rsid w:val="363803C7"/>
    <w:rsid w:val="364E2CE9"/>
    <w:rsid w:val="36560C0B"/>
    <w:rsid w:val="365B28AF"/>
    <w:rsid w:val="36712764"/>
    <w:rsid w:val="367620D2"/>
    <w:rsid w:val="3686664E"/>
    <w:rsid w:val="3689139F"/>
    <w:rsid w:val="369608CE"/>
    <w:rsid w:val="369B2954"/>
    <w:rsid w:val="36A238B1"/>
    <w:rsid w:val="36BA0FCB"/>
    <w:rsid w:val="36C1037B"/>
    <w:rsid w:val="36C9319E"/>
    <w:rsid w:val="36D067A6"/>
    <w:rsid w:val="36F57F10"/>
    <w:rsid w:val="36FC4486"/>
    <w:rsid w:val="37070D11"/>
    <w:rsid w:val="37175525"/>
    <w:rsid w:val="371A5AC4"/>
    <w:rsid w:val="37201F64"/>
    <w:rsid w:val="373F53DD"/>
    <w:rsid w:val="375948AC"/>
    <w:rsid w:val="376B28D6"/>
    <w:rsid w:val="376C5D00"/>
    <w:rsid w:val="376D427E"/>
    <w:rsid w:val="376E276D"/>
    <w:rsid w:val="37724E83"/>
    <w:rsid w:val="37983FB2"/>
    <w:rsid w:val="379850C2"/>
    <w:rsid w:val="379D4DCD"/>
    <w:rsid w:val="37A04E93"/>
    <w:rsid w:val="37A31CDF"/>
    <w:rsid w:val="37AB1B65"/>
    <w:rsid w:val="37B25C6C"/>
    <w:rsid w:val="37CF154C"/>
    <w:rsid w:val="37EA0A17"/>
    <w:rsid w:val="380A7603"/>
    <w:rsid w:val="380B0BB2"/>
    <w:rsid w:val="380D32F1"/>
    <w:rsid w:val="380D5D0D"/>
    <w:rsid w:val="38196915"/>
    <w:rsid w:val="382F2C1E"/>
    <w:rsid w:val="3860038E"/>
    <w:rsid w:val="38716CD9"/>
    <w:rsid w:val="38801C6C"/>
    <w:rsid w:val="38834A3E"/>
    <w:rsid w:val="38851608"/>
    <w:rsid w:val="38866017"/>
    <w:rsid w:val="38A45712"/>
    <w:rsid w:val="38A47DD9"/>
    <w:rsid w:val="38B04451"/>
    <w:rsid w:val="38CC1F91"/>
    <w:rsid w:val="38CC35B4"/>
    <w:rsid w:val="38D10166"/>
    <w:rsid w:val="38EA5FB0"/>
    <w:rsid w:val="3908401F"/>
    <w:rsid w:val="3908621E"/>
    <w:rsid w:val="39207FD2"/>
    <w:rsid w:val="3933207C"/>
    <w:rsid w:val="394668D6"/>
    <w:rsid w:val="394B37F2"/>
    <w:rsid w:val="394C5A0D"/>
    <w:rsid w:val="39530C1B"/>
    <w:rsid w:val="39532C2F"/>
    <w:rsid w:val="397458FC"/>
    <w:rsid w:val="398C2C91"/>
    <w:rsid w:val="39985F30"/>
    <w:rsid w:val="39D3500A"/>
    <w:rsid w:val="39D96419"/>
    <w:rsid w:val="39DB057E"/>
    <w:rsid w:val="39E55169"/>
    <w:rsid w:val="39E84553"/>
    <w:rsid w:val="39E86F30"/>
    <w:rsid w:val="39F4018B"/>
    <w:rsid w:val="39F72E22"/>
    <w:rsid w:val="39F847AF"/>
    <w:rsid w:val="3A094E52"/>
    <w:rsid w:val="3A144A89"/>
    <w:rsid w:val="3A174971"/>
    <w:rsid w:val="3A191236"/>
    <w:rsid w:val="3A273045"/>
    <w:rsid w:val="3A2D66B8"/>
    <w:rsid w:val="3A3E4729"/>
    <w:rsid w:val="3A5F45D1"/>
    <w:rsid w:val="3A675D63"/>
    <w:rsid w:val="3A935D24"/>
    <w:rsid w:val="3A9F7948"/>
    <w:rsid w:val="3AA02CE4"/>
    <w:rsid w:val="3AA628ED"/>
    <w:rsid w:val="3AAB6C4F"/>
    <w:rsid w:val="3AAC6356"/>
    <w:rsid w:val="3AB23C38"/>
    <w:rsid w:val="3ABA4B72"/>
    <w:rsid w:val="3AC76FD5"/>
    <w:rsid w:val="3ACE1617"/>
    <w:rsid w:val="3AD31906"/>
    <w:rsid w:val="3AD969F8"/>
    <w:rsid w:val="3AFD1BC4"/>
    <w:rsid w:val="3B292DA0"/>
    <w:rsid w:val="3B4C622A"/>
    <w:rsid w:val="3B5427BC"/>
    <w:rsid w:val="3B65256F"/>
    <w:rsid w:val="3B7F36AC"/>
    <w:rsid w:val="3B822235"/>
    <w:rsid w:val="3B861D2E"/>
    <w:rsid w:val="3B965B95"/>
    <w:rsid w:val="3B9B1BC5"/>
    <w:rsid w:val="3BA2309F"/>
    <w:rsid w:val="3BC25680"/>
    <w:rsid w:val="3BD653F5"/>
    <w:rsid w:val="3BE16ECF"/>
    <w:rsid w:val="3C0C1744"/>
    <w:rsid w:val="3C117898"/>
    <w:rsid w:val="3C211965"/>
    <w:rsid w:val="3C4708A1"/>
    <w:rsid w:val="3C4B0ED5"/>
    <w:rsid w:val="3C5C7DA9"/>
    <w:rsid w:val="3C7544C5"/>
    <w:rsid w:val="3C790143"/>
    <w:rsid w:val="3C8904DF"/>
    <w:rsid w:val="3CA91418"/>
    <w:rsid w:val="3CAF061D"/>
    <w:rsid w:val="3CB63CA9"/>
    <w:rsid w:val="3CBC1B56"/>
    <w:rsid w:val="3CBD75BF"/>
    <w:rsid w:val="3CC33BCC"/>
    <w:rsid w:val="3CD641A1"/>
    <w:rsid w:val="3CE2490A"/>
    <w:rsid w:val="3CEA648A"/>
    <w:rsid w:val="3D076AAE"/>
    <w:rsid w:val="3D0870AB"/>
    <w:rsid w:val="3D1502D9"/>
    <w:rsid w:val="3D1D0C51"/>
    <w:rsid w:val="3D555673"/>
    <w:rsid w:val="3D5657CC"/>
    <w:rsid w:val="3D5D2E26"/>
    <w:rsid w:val="3D627E02"/>
    <w:rsid w:val="3D6A54CD"/>
    <w:rsid w:val="3D876DDA"/>
    <w:rsid w:val="3D8E5ECA"/>
    <w:rsid w:val="3D8F0A2E"/>
    <w:rsid w:val="3D926692"/>
    <w:rsid w:val="3D947997"/>
    <w:rsid w:val="3DAA0159"/>
    <w:rsid w:val="3DB21166"/>
    <w:rsid w:val="3DB52FFB"/>
    <w:rsid w:val="3DB932B8"/>
    <w:rsid w:val="3DD86EA7"/>
    <w:rsid w:val="3DDB0FBF"/>
    <w:rsid w:val="3DDF3C84"/>
    <w:rsid w:val="3DF33233"/>
    <w:rsid w:val="3DF55B8D"/>
    <w:rsid w:val="3DF740D2"/>
    <w:rsid w:val="3DF9770F"/>
    <w:rsid w:val="3E107D22"/>
    <w:rsid w:val="3E1D4DB4"/>
    <w:rsid w:val="3E277BDA"/>
    <w:rsid w:val="3E2942BE"/>
    <w:rsid w:val="3E300439"/>
    <w:rsid w:val="3E320B89"/>
    <w:rsid w:val="3E3906BC"/>
    <w:rsid w:val="3E494ED3"/>
    <w:rsid w:val="3E5648B2"/>
    <w:rsid w:val="3E684241"/>
    <w:rsid w:val="3E75521D"/>
    <w:rsid w:val="3E83245B"/>
    <w:rsid w:val="3E8412E9"/>
    <w:rsid w:val="3E9328AF"/>
    <w:rsid w:val="3E9C33E3"/>
    <w:rsid w:val="3E9C501E"/>
    <w:rsid w:val="3EBC27E6"/>
    <w:rsid w:val="3EC226D1"/>
    <w:rsid w:val="3EC70972"/>
    <w:rsid w:val="3ECF4AA3"/>
    <w:rsid w:val="3EDC10D0"/>
    <w:rsid w:val="3EE10368"/>
    <w:rsid w:val="3EF13BC7"/>
    <w:rsid w:val="3EF44FD4"/>
    <w:rsid w:val="3EF53D00"/>
    <w:rsid w:val="3F035371"/>
    <w:rsid w:val="3F0C4369"/>
    <w:rsid w:val="3F212A90"/>
    <w:rsid w:val="3F2C4235"/>
    <w:rsid w:val="3F2F35EC"/>
    <w:rsid w:val="3F2F53AA"/>
    <w:rsid w:val="3F3603B6"/>
    <w:rsid w:val="3F505DCB"/>
    <w:rsid w:val="3F5D2E4D"/>
    <w:rsid w:val="3F5F1F5C"/>
    <w:rsid w:val="3F6A5EE0"/>
    <w:rsid w:val="3F751F35"/>
    <w:rsid w:val="3F8313C0"/>
    <w:rsid w:val="3F8A14CB"/>
    <w:rsid w:val="3F9364E1"/>
    <w:rsid w:val="3F9E0865"/>
    <w:rsid w:val="3FA5009E"/>
    <w:rsid w:val="3FBB6D1B"/>
    <w:rsid w:val="3FD50D82"/>
    <w:rsid w:val="3FDB1475"/>
    <w:rsid w:val="3FDE5AD9"/>
    <w:rsid w:val="3FE56AF2"/>
    <w:rsid w:val="3FF019F4"/>
    <w:rsid w:val="40080DEE"/>
    <w:rsid w:val="401C7BD5"/>
    <w:rsid w:val="40227083"/>
    <w:rsid w:val="402417C8"/>
    <w:rsid w:val="402E6E49"/>
    <w:rsid w:val="40372073"/>
    <w:rsid w:val="403A0075"/>
    <w:rsid w:val="403B30DF"/>
    <w:rsid w:val="404F52A8"/>
    <w:rsid w:val="4053224E"/>
    <w:rsid w:val="40585F20"/>
    <w:rsid w:val="40A82619"/>
    <w:rsid w:val="40B6211F"/>
    <w:rsid w:val="40C2573C"/>
    <w:rsid w:val="40D34024"/>
    <w:rsid w:val="40D43BA0"/>
    <w:rsid w:val="40E01030"/>
    <w:rsid w:val="40E241CE"/>
    <w:rsid w:val="40E51007"/>
    <w:rsid w:val="40E75B26"/>
    <w:rsid w:val="40EA1C0C"/>
    <w:rsid w:val="40EA78D7"/>
    <w:rsid w:val="40EF076E"/>
    <w:rsid w:val="41046039"/>
    <w:rsid w:val="41055305"/>
    <w:rsid w:val="410F42EE"/>
    <w:rsid w:val="41114BBA"/>
    <w:rsid w:val="41153D55"/>
    <w:rsid w:val="412912D7"/>
    <w:rsid w:val="41366B89"/>
    <w:rsid w:val="41643D6B"/>
    <w:rsid w:val="41771599"/>
    <w:rsid w:val="41A04E11"/>
    <w:rsid w:val="41AA4418"/>
    <w:rsid w:val="41C6181D"/>
    <w:rsid w:val="41C86EE6"/>
    <w:rsid w:val="41C952EA"/>
    <w:rsid w:val="41DB0F0D"/>
    <w:rsid w:val="41DF32B5"/>
    <w:rsid w:val="420558C2"/>
    <w:rsid w:val="42057B28"/>
    <w:rsid w:val="421052B2"/>
    <w:rsid w:val="42190CC2"/>
    <w:rsid w:val="422E3E2B"/>
    <w:rsid w:val="422F36E3"/>
    <w:rsid w:val="42307D25"/>
    <w:rsid w:val="42407C97"/>
    <w:rsid w:val="42491125"/>
    <w:rsid w:val="425C634D"/>
    <w:rsid w:val="42680DCC"/>
    <w:rsid w:val="427A44C2"/>
    <w:rsid w:val="42880654"/>
    <w:rsid w:val="428A5B21"/>
    <w:rsid w:val="428D14EF"/>
    <w:rsid w:val="4296187E"/>
    <w:rsid w:val="42A65AF0"/>
    <w:rsid w:val="42AD56C6"/>
    <w:rsid w:val="42FF71DC"/>
    <w:rsid w:val="42FF7548"/>
    <w:rsid w:val="43006D78"/>
    <w:rsid w:val="43217EC6"/>
    <w:rsid w:val="432B1FC3"/>
    <w:rsid w:val="434D155D"/>
    <w:rsid w:val="43594292"/>
    <w:rsid w:val="435E53D9"/>
    <w:rsid w:val="437A0D2C"/>
    <w:rsid w:val="438607EE"/>
    <w:rsid w:val="43911F91"/>
    <w:rsid w:val="4394491A"/>
    <w:rsid w:val="43997A97"/>
    <w:rsid w:val="439B27FA"/>
    <w:rsid w:val="43BD5DE5"/>
    <w:rsid w:val="43C17B79"/>
    <w:rsid w:val="43CA6D64"/>
    <w:rsid w:val="43D65E39"/>
    <w:rsid w:val="43D6606E"/>
    <w:rsid w:val="43FE3B45"/>
    <w:rsid w:val="441111D7"/>
    <w:rsid w:val="44243658"/>
    <w:rsid w:val="444C64B0"/>
    <w:rsid w:val="444D54BA"/>
    <w:rsid w:val="446E2A13"/>
    <w:rsid w:val="446E6C1A"/>
    <w:rsid w:val="44742FDB"/>
    <w:rsid w:val="448B2102"/>
    <w:rsid w:val="449D508C"/>
    <w:rsid w:val="44B15AF7"/>
    <w:rsid w:val="44B36E39"/>
    <w:rsid w:val="44C35AE0"/>
    <w:rsid w:val="44EC7013"/>
    <w:rsid w:val="44EF65A4"/>
    <w:rsid w:val="44F02519"/>
    <w:rsid w:val="44F41E19"/>
    <w:rsid w:val="44FB3AE3"/>
    <w:rsid w:val="44FF3C64"/>
    <w:rsid w:val="45061393"/>
    <w:rsid w:val="452454F2"/>
    <w:rsid w:val="4530392C"/>
    <w:rsid w:val="45427AA4"/>
    <w:rsid w:val="45465B65"/>
    <w:rsid w:val="454A33D5"/>
    <w:rsid w:val="45515DC5"/>
    <w:rsid w:val="4552496F"/>
    <w:rsid w:val="455454A2"/>
    <w:rsid w:val="45564CA5"/>
    <w:rsid w:val="455B6233"/>
    <w:rsid w:val="45620AE1"/>
    <w:rsid w:val="456A6A48"/>
    <w:rsid w:val="457C3D14"/>
    <w:rsid w:val="45803914"/>
    <w:rsid w:val="45812191"/>
    <w:rsid w:val="45865E2C"/>
    <w:rsid w:val="45911A43"/>
    <w:rsid w:val="45A16423"/>
    <w:rsid w:val="45A24E61"/>
    <w:rsid w:val="45B457B5"/>
    <w:rsid w:val="45DE2657"/>
    <w:rsid w:val="45F10750"/>
    <w:rsid w:val="45F10EC5"/>
    <w:rsid w:val="45F91D99"/>
    <w:rsid w:val="46084CE9"/>
    <w:rsid w:val="460F4303"/>
    <w:rsid w:val="4616768B"/>
    <w:rsid w:val="462E7E70"/>
    <w:rsid w:val="463144E8"/>
    <w:rsid w:val="463446BC"/>
    <w:rsid w:val="46352BE8"/>
    <w:rsid w:val="46414DD4"/>
    <w:rsid w:val="46523D01"/>
    <w:rsid w:val="466317E7"/>
    <w:rsid w:val="466E3CCD"/>
    <w:rsid w:val="4676381B"/>
    <w:rsid w:val="467744FD"/>
    <w:rsid w:val="46952BDB"/>
    <w:rsid w:val="46A746F1"/>
    <w:rsid w:val="46A9603F"/>
    <w:rsid w:val="46AF30F0"/>
    <w:rsid w:val="46B87DA9"/>
    <w:rsid w:val="46CD4878"/>
    <w:rsid w:val="46D046FE"/>
    <w:rsid w:val="46D06D98"/>
    <w:rsid w:val="46DA4E4A"/>
    <w:rsid w:val="46E12276"/>
    <w:rsid w:val="46E46B2F"/>
    <w:rsid w:val="46F03580"/>
    <w:rsid w:val="46F51A7F"/>
    <w:rsid w:val="46F847CE"/>
    <w:rsid w:val="47140188"/>
    <w:rsid w:val="4714637D"/>
    <w:rsid w:val="471901B2"/>
    <w:rsid w:val="47280D0D"/>
    <w:rsid w:val="47406C6A"/>
    <w:rsid w:val="476B7898"/>
    <w:rsid w:val="47700B34"/>
    <w:rsid w:val="477A6B40"/>
    <w:rsid w:val="477C1D4C"/>
    <w:rsid w:val="47B32E9C"/>
    <w:rsid w:val="47EE1DDF"/>
    <w:rsid w:val="47F3266D"/>
    <w:rsid w:val="480B19F6"/>
    <w:rsid w:val="48212AE9"/>
    <w:rsid w:val="485E0907"/>
    <w:rsid w:val="486C4CE7"/>
    <w:rsid w:val="487B0789"/>
    <w:rsid w:val="48894E4D"/>
    <w:rsid w:val="489713C3"/>
    <w:rsid w:val="48A262B1"/>
    <w:rsid w:val="48A61EC2"/>
    <w:rsid w:val="48BA3284"/>
    <w:rsid w:val="48BC6665"/>
    <w:rsid w:val="48CB1CC0"/>
    <w:rsid w:val="48D4307F"/>
    <w:rsid w:val="49013C23"/>
    <w:rsid w:val="49046A59"/>
    <w:rsid w:val="490A52ED"/>
    <w:rsid w:val="49120F3F"/>
    <w:rsid w:val="49163580"/>
    <w:rsid w:val="491E6E1E"/>
    <w:rsid w:val="491F7F64"/>
    <w:rsid w:val="492A1BD4"/>
    <w:rsid w:val="49470956"/>
    <w:rsid w:val="494D3EF0"/>
    <w:rsid w:val="494F7DA4"/>
    <w:rsid w:val="49582843"/>
    <w:rsid w:val="495D296B"/>
    <w:rsid w:val="49733467"/>
    <w:rsid w:val="49804B05"/>
    <w:rsid w:val="49955841"/>
    <w:rsid w:val="49A418F2"/>
    <w:rsid w:val="49C8100A"/>
    <w:rsid w:val="49F215F7"/>
    <w:rsid w:val="49F46361"/>
    <w:rsid w:val="49FF2037"/>
    <w:rsid w:val="4A030B7A"/>
    <w:rsid w:val="4A0A7F62"/>
    <w:rsid w:val="4A1D00AC"/>
    <w:rsid w:val="4A236EB1"/>
    <w:rsid w:val="4A267E35"/>
    <w:rsid w:val="4A270A04"/>
    <w:rsid w:val="4A382D24"/>
    <w:rsid w:val="4A414188"/>
    <w:rsid w:val="4A47591B"/>
    <w:rsid w:val="4A4C4C82"/>
    <w:rsid w:val="4A4E3578"/>
    <w:rsid w:val="4A6A1823"/>
    <w:rsid w:val="4A6F608D"/>
    <w:rsid w:val="4A885CE1"/>
    <w:rsid w:val="4A9452E5"/>
    <w:rsid w:val="4A984C0D"/>
    <w:rsid w:val="4A9F2D3A"/>
    <w:rsid w:val="4AA00600"/>
    <w:rsid w:val="4ABE4F66"/>
    <w:rsid w:val="4ABF0894"/>
    <w:rsid w:val="4ADB4E28"/>
    <w:rsid w:val="4AEF6A2D"/>
    <w:rsid w:val="4AF16114"/>
    <w:rsid w:val="4AF75899"/>
    <w:rsid w:val="4AF76666"/>
    <w:rsid w:val="4B170E1E"/>
    <w:rsid w:val="4B1A46C6"/>
    <w:rsid w:val="4B1A687B"/>
    <w:rsid w:val="4B2517BD"/>
    <w:rsid w:val="4B2C12BC"/>
    <w:rsid w:val="4B333D7A"/>
    <w:rsid w:val="4B3422A0"/>
    <w:rsid w:val="4B4D3A8C"/>
    <w:rsid w:val="4B5523AC"/>
    <w:rsid w:val="4B5D5A49"/>
    <w:rsid w:val="4B766FBE"/>
    <w:rsid w:val="4B7F49FA"/>
    <w:rsid w:val="4B85737C"/>
    <w:rsid w:val="4B8D0681"/>
    <w:rsid w:val="4BB31E0A"/>
    <w:rsid w:val="4BC74E08"/>
    <w:rsid w:val="4BD07997"/>
    <w:rsid w:val="4BD101CA"/>
    <w:rsid w:val="4BDF3E16"/>
    <w:rsid w:val="4BE971AF"/>
    <w:rsid w:val="4BFB1C38"/>
    <w:rsid w:val="4BFE1C3A"/>
    <w:rsid w:val="4C1003D8"/>
    <w:rsid w:val="4C251AA6"/>
    <w:rsid w:val="4C315F18"/>
    <w:rsid w:val="4C352DA8"/>
    <w:rsid w:val="4C366477"/>
    <w:rsid w:val="4C4113CF"/>
    <w:rsid w:val="4C6B6EBB"/>
    <w:rsid w:val="4C6F66E5"/>
    <w:rsid w:val="4C786851"/>
    <w:rsid w:val="4C7E2F03"/>
    <w:rsid w:val="4C812213"/>
    <w:rsid w:val="4C8A729F"/>
    <w:rsid w:val="4C8E73B9"/>
    <w:rsid w:val="4C942881"/>
    <w:rsid w:val="4C98016E"/>
    <w:rsid w:val="4CAF266F"/>
    <w:rsid w:val="4CC13ECD"/>
    <w:rsid w:val="4CCE3DBA"/>
    <w:rsid w:val="4CD020F9"/>
    <w:rsid w:val="4CD1365E"/>
    <w:rsid w:val="4CE50D46"/>
    <w:rsid w:val="4CEB05BD"/>
    <w:rsid w:val="4CFC6D55"/>
    <w:rsid w:val="4D0550A8"/>
    <w:rsid w:val="4D09197C"/>
    <w:rsid w:val="4D0B17EF"/>
    <w:rsid w:val="4D0E4802"/>
    <w:rsid w:val="4D2F7723"/>
    <w:rsid w:val="4D3267B3"/>
    <w:rsid w:val="4D406BD1"/>
    <w:rsid w:val="4D4B585B"/>
    <w:rsid w:val="4D5047B5"/>
    <w:rsid w:val="4D605A45"/>
    <w:rsid w:val="4D73501E"/>
    <w:rsid w:val="4D76573F"/>
    <w:rsid w:val="4D811DB6"/>
    <w:rsid w:val="4D831E51"/>
    <w:rsid w:val="4D9B4759"/>
    <w:rsid w:val="4DA44E4F"/>
    <w:rsid w:val="4DB3573A"/>
    <w:rsid w:val="4DBC31EA"/>
    <w:rsid w:val="4DCE74AD"/>
    <w:rsid w:val="4DD8077E"/>
    <w:rsid w:val="4DF521AC"/>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93495"/>
    <w:rsid w:val="4EA30D9D"/>
    <w:rsid w:val="4EA31AE4"/>
    <w:rsid w:val="4EA76E89"/>
    <w:rsid w:val="4EAF2828"/>
    <w:rsid w:val="4EB2058C"/>
    <w:rsid w:val="4EB60C48"/>
    <w:rsid w:val="4EDE147E"/>
    <w:rsid w:val="4EEA3967"/>
    <w:rsid w:val="4EEF1B44"/>
    <w:rsid w:val="4F094887"/>
    <w:rsid w:val="4F0A27C3"/>
    <w:rsid w:val="4F0F005F"/>
    <w:rsid w:val="4F165D52"/>
    <w:rsid w:val="4F1D369F"/>
    <w:rsid w:val="4F1E3C2F"/>
    <w:rsid w:val="4F213A90"/>
    <w:rsid w:val="4F290247"/>
    <w:rsid w:val="4F323CD2"/>
    <w:rsid w:val="4F332C0A"/>
    <w:rsid w:val="4F3B2459"/>
    <w:rsid w:val="4F3B460A"/>
    <w:rsid w:val="4F433DC8"/>
    <w:rsid w:val="4F4628B7"/>
    <w:rsid w:val="4F4B51A5"/>
    <w:rsid w:val="4F4E6EC7"/>
    <w:rsid w:val="4F545D86"/>
    <w:rsid w:val="4F5D5E43"/>
    <w:rsid w:val="4F843B05"/>
    <w:rsid w:val="4F940769"/>
    <w:rsid w:val="4FA14EEC"/>
    <w:rsid w:val="4FA84227"/>
    <w:rsid w:val="4FAD2047"/>
    <w:rsid w:val="4FC231DA"/>
    <w:rsid w:val="4FD9320F"/>
    <w:rsid w:val="4FDD1D8F"/>
    <w:rsid w:val="4FE223EE"/>
    <w:rsid w:val="4FE3097A"/>
    <w:rsid w:val="4FFD3A77"/>
    <w:rsid w:val="50091D29"/>
    <w:rsid w:val="501F59A7"/>
    <w:rsid w:val="503642D7"/>
    <w:rsid w:val="503D3F59"/>
    <w:rsid w:val="50650862"/>
    <w:rsid w:val="50681179"/>
    <w:rsid w:val="5095674A"/>
    <w:rsid w:val="50A01EE7"/>
    <w:rsid w:val="50A6221C"/>
    <w:rsid w:val="50AC4C20"/>
    <w:rsid w:val="50AE00AE"/>
    <w:rsid w:val="50B13272"/>
    <w:rsid w:val="50B61B8B"/>
    <w:rsid w:val="50C13C5F"/>
    <w:rsid w:val="50C16C1C"/>
    <w:rsid w:val="50C577D9"/>
    <w:rsid w:val="50E00158"/>
    <w:rsid w:val="50E8434B"/>
    <w:rsid w:val="50F0291C"/>
    <w:rsid w:val="50F5073D"/>
    <w:rsid w:val="50F83FA2"/>
    <w:rsid w:val="5100536A"/>
    <w:rsid w:val="51166C53"/>
    <w:rsid w:val="51183F80"/>
    <w:rsid w:val="51286AE9"/>
    <w:rsid w:val="51334745"/>
    <w:rsid w:val="51355ACC"/>
    <w:rsid w:val="516C5BB7"/>
    <w:rsid w:val="517C1235"/>
    <w:rsid w:val="51881606"/>
    <w:rsid w:val="518B6393"/>
    <w:rsid w:val="518E2820"/>
    <w:rsid w:val="519C6C10"/>
    <w:rsid w:val="51AC5137"/>
    <w:rsid w:val="51B463DB"/>
    <w:rsid w:val="51BA3724"/>
    <w:rsid w:val="51C31254"/>
    <w:rsid w:val="51C979DD"/>
    <w:rsid w:val="51CA5F3D"/>
    <w:rsid w:val="51D65A91"/>
    <w:rsid w:val="520A22AE"/>
    <w:rsid w:val="52247A0F"/>
    <w:rsid w:val="52307478"/>
    <w:rsid w:val="52385792"/>
    <w:rsid w:val="523D42DD"/>
    <w:rsid w:val="523F6AFF"/>
    <w:rsid w:val="52480D46"/>
    <w:rsid w:val="524F31BF"/>
    <w:rsid w:val="52514A0D"/>
    <w:rsid w:val="5273265C"/>
    <w:rsid w:val="52853336"/>
    <w:rsid w:val="52881D50"/>
    <w:rsid w:val="528D7640"/>
    <w:rsid w:val="52991222"/>
    <w:rsid w:val="529B3EC4"/>
    <w:rsid w:val="529C7876"/>
    <w:rsid w:val="52C1084B"/>
    <w:rsid w:val="52CA2C42"/>
    <w:rsid w:val="52DB19FD"/>
    <w:rsid w:val="52E53EC9"/>
    <w:rsid w:val="52EE339D"/>
    <w:rsid w:val="52F61E27"/>
    <w:rsid w:val="52F64812"/>
    <w:rsid w:val="5306292A"/>
    <w:rsid w:val="530822C8"/>
    <w:rsid w:val="532B3A0E"/>
    <w:rsid w:val="533E1E81"/>
    <w:rsid w:val="535F3AF3"/>
    <w:rsid w:val="536F1AF1"/>
    <w:rsid w:val="536F3F83"/>
    <w:rsid w:val="53703E8D"/>
    <w:rsid w:val="53707DDE"/>
    <w:rsid w:val="537334C7"/>
    <w:rsid w:val="537810B7"/>
    <w:rsid w:val="537E0058"/>
    <w:rsid w:val="53950AA6"/>
    <w:rsid w:val="53A8102E"/>
    <w:rsid w:val="53C502CE"/>
    <w:rsid w:val="53D02F55"/>
    <w:rsid w:val="53E12D9E"/>
    <w:rsid w:val="53E64B1C"/>
    <w:rsid w:val="53E8652B"/>
    <w:rsid w:val="53EB486A"/>
    <w:rsid w:val="53EE67E9"/>
    <w:rsid w:val="53FD1C03"/>
    <w:rsid w:val="54020BC2"/>
    <w:rsid w:val="540310FA"/>
    <w:rsid w:val="54037045"/>
    <w:rsid w:val="540817F6"/>
    <w:rsid w:val="54270E2A"/>
    <w:rsid w:val="54270F5B"/>
    <w:rsid w:val="54382594"/>
    <w:rsid w:val="543E515D"/>
    <w:rsid w:val="543F413B"/>
    <w:rsid w:val="543F6DB4"/>
    <w:rsid w:val="544561BC"/>
    <w:rsid w:val="544B0D54"/>
    <w:rsid w:val="545568EB"/>
    <w:rsid w:val="54591CDE"/>
    <w:rsid w:val="54625354"/>
    <w:rsid w:val="546D6CCA"/>
    <w:rsid w:val="54984A43"/>
    <w:rsid w:val="54B55CE3"/>
    <w:rsid w:val="54B9208D"/>
    <w:rsid w:val="54BA614C"/>
    <w:rsid w:val="54C557E7"/>
    <w:rsid w:val="54C65EC0"/>
    <w:rsid w:val="54D006DC"/>
    <w:rsid w:val="54D43100"/>
    <w:rsid w:val="55053315"/>
    <w:rsid w:val="55067A64"/>
    <w:rsid w:val="552760F6"/>
    <w:rsid w:val="552A09F4"/>
    <w:rsid w:val="552C4622"/>
    <w:rsid w:val="5532296D"/>
    <w:rsid w:val="553D5564"/>
    <w:rsid w:val="555154EE"/>
    <w:rsid w:val="5560481F"/>
    <w:rsid w:val="557414CA"/>
    <w:rsid w:val="558F4A1E"/>
    <w:rsid w:val="55917E28"/>
    <w:rsid w:val="55942252"/>
    <w:rsid w:val="55987FBD"/>
    <w:rsid w:val="55AC7BE9"/>
    <w:rsid w:val="55B41C64"/>
    <w:rsid w:val="55CB0EA2"/>
    <w:rsid w:val="55EC2897"/>
    <w:rsid w:val="55F157AA"/>
    <w:rsid w:val="55FA0B35"/>
    <w:rsid w:val="55FA242D"/>
    <w:rsid w:val="56254C95"/>
    <w:rsid w:val="56290B5D"/>
    <w:rsid w:val="5630640C"/>
    <w:rsid w:val="56363D57"/>
    <w:rsid w:val="56490020"/>
    <w:rsid w:val="5652511E"/>
    <w:rsid w:val="56543A0D"/>
    <w:rsid w:val="565C0156"/>
    <w:rsid w:val="566B50BC"/>
    <w:rsid w:val="566E08BF"/>
    <w:rsid w:val="569E1AC8"/>
    <w:rsid w:val="56A4132F"/>
    <w:rsid w:val="56AC279F"/>
    <w:rsid w:val="56AF2E6F"/>
    <w:rsid w:val="56D94DD2"/>
    <w:rsid w:val="56DF0963"/>
    <w:rsid w:val="56E2575C"/>
    <w:rsid w:val="56E31118"/>
    <w:rsid w:val="56E46A8E"/>
    <w:rsid w:val="56F37D3E"/>
    <w:rsid w:val="56F473C0"/>
    <w:rsid w:val="56FD3D8C"/>
    <w:rsid w:val="57065F83"/>
    <w:rsid w:val="57097BE4"/>
    <w:rsid w:val="570B6550"/>
    <w:rsid w:val="57196157"/>
    <w:rsid w:val="573D632F"/>
    <w:rsid w:val="5741590E"/>
    <w:rsid w:val="57484C26"/>
    <w:rsid w:val="5758628A"/>
    <w:rsid w:val="57685DFD"/>
    <w:rsid w:val="57745BB6"/>
    <w:rsid w:val="57855787"/>
    <w:rsid w:val="578A1BF3"/>
    <w:rsid w:val="5791383A"/>
    <w:rsid w:val="57B02739"/>
    <w:rsid w:val="57BD6C04"/>
    <w:rsid w:val="57C51573"/>
    <w:rsid w:val="57D6036B"/>
    <w:rsid w:val="57D6484A"/>
    <w:rsid w:val="57DE28CC"/>
    <w:rsid w:val="57FF606E"/>
    <w:rsid w:val="580716CC"/>
    <w:rsid w:val="58220A26"/>
    <w:rsid w:val="58381DBD"/>
    <w:rsid w:val="58394C38"/>
    <w:rsid w:val="58423CCA"/>
    <w:rsid w:val="58446DBA"/>
    <w:rsid w:val="58481CE4"/>
    <w:rsid w:val="584B7C06"/>
    <w:rsid w:val="58510290"/>
    <w:rsid w:val="58535DB5"/>
    <w:rsid w:val="58553705"/>
    <w:rsid w:val="5855370B"/>
    <w:rsid w:val="58590F71"/>
    <w:rsid w:val="587651AC"/>
    <w:rsid w:val="587939C8"/>
    <w:rsid w:val="58931910"/>
    <w:rsid w:val="58932063"/>
    <w:rsid w:val="58B31DD9"/>
    <w:rsid w:val="58B91125"/>
    <w:rsid w:val="58C07443"/>
    <w:rsid w:val="58C64CF3"/>
    <w:rsid w:val="58CB283B"/>
    <w:rsid w:val="58CB3B78"/>
    <w:rsid w:val="58D16799"/>
    <w:rsid w:val="58D21B64"/>
    <w:rsid w:val="58E36F3B"/>
    <w:rsid w:val="59096497"/>
    <w:rsid w:val="590D2328"/>
    <w:rsid w:val="590F51DD"/>
    <w:rsid w:val="59232C0B"/>
    <w:rsid w:val="59251BA8"/>
    <w:rsid w:val="593A62F9"/>
    <w:rsid w:val="593E34F6"/>
    <w:rsid w:val="593E4EE7"/>
    <w:rsid w:val="594D06B7"/>
    <w:rsid w:val="595258C3"/>
    <w:rsid w:val="59754648"/>
    <w:rsid w:val="598D03EC"/>
    <w:rsid w:val="598D7696"/>
    <w:rsid w:val="599C0038"/>
    <w:rsid w:val="59A874AD"/>
    <w:rsid w:val="59AD1771"/>
    <w:rsid w:val="59C43D4D"/>
    <w:rsid w:val="59C83A39"/>
    <w:rsid w:val="59CD0FC2"/>
    <w:rsid w:val="59D746D7"/>
    <w:rsid w:val="59F22456"/>
    <w:rsid w:val="59F40C9E"/>
    <w:rsid w:val="59FB18DA"/>
    <w:rsid w:val="5A220958"/>
    <w:rsid w:val="5A245D72"/>
    <w:rsid w:val="5A261DCD"/>
    <w:rsid w:val="5A315F05"/>
    <w:rsid w:val="5A344989"/>
    <w:rsid w:val="5A361544"/>
    <w:rsid w:val="5A3F108A"/>
    <w:rsid w:val="5A425322"/>
    <w:rsid w:val="5A596770"/>
    <w:rsid w:val="5A5B363C"/>
    <w:rsid w:val="5A66425D"/>
    <w:rsid w:val="5A6D76C0"/>
    <w:rsid w:val="5A723A0D"/>
    <w:rsid w:val="5A762255"/>
    <w:rsid w:val="5A833B0D"/>
    <w:rsid w:val="5A9A7C44"/>
    <w:rsid w:val="5A9D621A"/>
    <w:rsid w:val="5AB17106"/>
    <w:rsid w:val="5AC219D6"/>
    <w:rsid w:val="5AC91049"/>
    <w:rsid w:val="5ACF40CD"/>
    <w:rsid w:val="5AD25E29"/>
    <w:rsid w:val="5ADB273E"/>
    <w:rsid w:val="5AE14981"/>
    <w:rsid w:val="5AFD3B96"/>
    <w:rsid w:val="5B097B76"/>
    <w:rsid w:val="5B0C640C"/>
    <w:rsid w:val="5B2D305D"/>
    <w:rsid w:val="5B344015"/>
    <w:rsid w:val="5B350A21"/>
    <w:rsid w:val="5B3F3F40"/>
    <w:rsid w:val="5B443E9C"/>
    <w:rsid w:val="5B620B4F"/>
    <w:rsid w:val="5B637846"/>
    <w:rsid w:val="5B637AE8"/>
    <w:rsid w:val="5B707739"/>
    <w:rsid w:val="5B74479A"/>
    <w:rsid w:val="5B7C7628"/>
    <w:rsid w:val="5B7E0ACC"/>
    <w:rsid w:val="5B956906"/>
    <w:rsid w:val="5BA0525E"/>
    <w:rsid w:val="5BB55204"/>
    <w:rsid w:val="5BB62C85"/>
    <w:rsid w:val="5BCD5911"/>
    <w:rsid w:val="5BCE4EA4"/>
    <w:rsid w:val="5BD209C4"/>
    <w:rsid w:val="5BD637EC"/>
    <w:rsid w:val="5BDE0F42"/>
    <w:rsid w:val="5BDE5A43"/>
    <w:rsid w:val="5BE0323A"/>
    <w:rsid w:val="5BE52C87"/>
    <w:rsid w:val="5BFB1413"/>
    <w:rsid w:val="5C1B7F5F"/>
    <w:rsid w:val="5C34166A"/>
    <w:rsid w:val="5C4A36B7"/>
    <w:rsid w:val="5C4E44D4"/>
    <w:rsid w:val="5C5552A6"/>
    <w:rsid w:val="5C570EE3"/>
    <w:rsid w:val="5C796560"/>
    <w:rsid w:val="5C7B79F9"/>
    <w:rsid w:val="5C975F8A"/>
    <w:rsid w:val="5CD7479C"/>
    <w:rsid w:val="5CE536CF"/>
    <w:rsid w:val="5CE568F8"/>
    <w:rsid w:val="5CE80A78"/>
    <w:rsid w:val="5CF2493D"/>
    <w:rsid w:val="5CF33064"/>
    <w:rsid w:val="5D0576C4"/>
    <w:rsid w:val="5D21139B"/>
    <w:rsid w:val="5D230368"/>
    <w:rsid w:val="5D255730"/>
    <w:rsid w:val="5D3A0883"/>
    <w:rsid w:val="5D4E1BA7"/>
    <w:rsid w:val="5D5667E0"/>
    <w:rsid w:val="5D580881"/>
    <w:rsid w:val="5D6261CB"/>
    <w:rsid w:val="5D712F5B"/>
    <w:rsid w:val="5D8D0925"/>
    <w:rsid w:val="5DA13534"/>
    <w:rsid w:val="5DA80011"/>
    <w:rsid w:val="5DCB56EC"/>
    <w:rsid w:val="5DCC2370"/>
    <w:rsid w:val="5DCF0D76"/>
    <w:rsid w:val="5DD4601C"/>
    <w:rsid w:val="5DD71A06"/>
    <w:rsid w:val="5DE448D2"/>
    <w:rsid w:val="5DF441FF"/>
    <w:rsid w:val="5E1463C6"/>
    <w:rsid w:val="5E2511CA"/>
    <w:rsid w:val="5E285722"/>
    <w:rsid w:val="5E3B4D31"/>
    <w:rsid w:val="5E3E65D1"/>
    <w:rsid w:val="5E4B7A1D"/>
    <w:rsid w:val="5E50050F"/>
    <w:rsid w:val="5E5D04EF"/>
    <w:rsid w:val="5E677FF0"/>
    <w:rsid w:val="5E68591D"/>
    <w:rsid w:val="5E6E3128"/>
    <w:rsid w:val="5E731D18"/>
    <w:rsid w:val="5E742249"/>
    <w:rsid w:val="5E9268B6"/>
    <w:rsid w:val="5E9E597C"/>
    <w:rsid w:val="5EA25DA7"/>
    <w:rsid w:val="5EA97C8F"/>
    <w:rsid w:val="5EAC7CB5"/>
    <w:rsid w:val="5EDA252D"/>
    <w:rsid w:val="5EDF04E2"/>
    <w:rsid w:val="5EE437F5"/>
    <w:rsid w:val="5EF0645B"/>
    <w:rsid w:val="5F05700F"/>
    <w:rsid w:val="5F0936DE"/>
    <w:rsid w:val="5F171517"/>
    <w:rsid w:val="5F1A4848"/>
    <w:rsid w:val="5F2E2A8A"/>
    <w:rsid w:val="5F3C79F2"/>
    <w:rsid w:val="5F414056"/>
    <w:rsid w:val="5F454229"/>
    <w:rsid w:val="5F5168E0"/>
    <w:rsid w:val="5F62295E"/>
    <w:rsid w:val="5F790CE9"/>
    <w:rsid w:val="5F7D16C2"/>
    <w:rsid w:val="5F892553"/>
    <w:rsid w:val="5F9D7E5B"/>
    <w:rsid w:val="5FA04A6A"/>
    <w:rsid w:val="5FAB77AE"/>
    <w:rsid w:val="5FB301BB"/>
    <w:rsid w:val="5FBF00D5"/>
    <w:rsid w:val="5FF32A3B"/>
    <w:rsid w:val="5FF65989"/>
    <w:rsid w:val="600A6271"/>
    <w:rsid w:val="602E29D0"/>
    <w:rsid w:val="60357E4D"/>
    <w:rsid w:val="603E0401"/>
    <w:rsid w:val="603E7BF6"/>
    <w:rsid w:val="6046706E"/>
    <w:rsid w:val="60492B3E"/>
    <w:rsid w:val="60565E64"/>
    <w:rsid w:val="60647840"/>
    <w:rsid w:val="6089047C"/>
    <w:rsid w:val="608C0E83"/>
    <w:rsid w:val="608D4CE3"/>
    <w:rsid w:val="60A859A2"/>
    <w:rsid w:val="60AB29AA"/>
    <w:rsid w:val="60AC024B"/>
    <w:rsid w:val="60AC67BD"/>
    <w:rsid w:val="60B146B2"/>
    <w:rsid w:val="60C06489"/>
    <w:rsid w:val="60CE2A0E"/>
    <w:rsid w:val="60DC7456"/>
    <w:rsid w:val="61032E37"/>
    <w:rsid w:val="610E4A4B"/>
    <w:rsid w:val="611B2150"/>
    <w:rsid w:val="61204933"/>
    <w:rsid w:val="612354B4"/>
    <w:rsid w:val="6131159B"/>
    <w:rsid w:val="61351A56"/>
    <w:rsid w:val="613F62A8"/>
    <w:rsid w:val="61415F87"/>
    <w:rsid w:val="614822A7"/>
    <w:rsid w:val="614963EE"/>
    <w:rsid w:val="614A2FC6"/>
    <w:rsid w:val="614E6C03"/>
    <w:rsid w:val="615A223E"/>
    <w:rsid w:val="615B47A6"/>
    <w:rsid w:val="616435A6"/>
    <w:rsid w:val="618D5576"/>
    <w:rsid w:val="619940E6"/>
    <w:rsid w:val="619E19B9"/>
    <w:rsid w:val="61A6014E"/>
    <w:rsid w:val="61AF035B"/>
    <w:rsid w:val="61B17BD0"/>
    <w:rsid w:val="61D63921"/>
    <w:rsid w:val="61DB724C"/>
    <w:rsid w:val="61E643A1"/>
    <w:rsid w:val="61E66CAD"/>
    <w:rsid w:val="61F439C5"/>
    <w:rsid w:val="61F443E9"/>
    <w:rsid w:val="62213533"/>
    <w:rsid w:val="62244E9F"/>
    <w:rsid w:val="62270D05"/>
    <w:rsid w:val="622C111C"/>
    <w:rsid w:val="623025A4"/>
    <w:rsid w:val="62305F95"/>
    <w:rsid w:val="62397832"/>
    <w:rsid w:val="62461BF2"/>
    <w:rsid w:val="62607426"/>
    <w:rsid w:val="626347A6"/>
    <w:rsid w:val="6278379F"/>
    <w:rsid w:val="62857AB0"/>
    <w:rsid w:val="62867444"/>
    <w:rsid w:val="628A41A8"/>
    <w:rsid w:val="629D7EE8"/>
    <w:rsid w:val="62A84A93"/>
    <w:rsid w:val="62BC1814"/>
    <w:rsid w:val="62BD1648"/>
    <w:rsid w:val="62C73A65"/>
    <w:rsid w:val="62CB3A67"/>
    <w:rsid w:val="62D50998"/>
    <w:rsid w:val="62E7507D"/>
    <w:rsid w:val="62F00C3E"/>
    <w:rsid w:val="62F61E46"/>
    <w:rsid w:val="62F67597"/>
    <w:rsid w:val="630C34D0"/>
    <w:rsid w:val="631E48B7"/>
    <w:rsid w:val="6322080B"/>
    <w:rsid w:val="63255FA6"/>
    <w:rsid w:val="635F6BBD"/>
    <w:rsid w:val="63782078"/>
    <w:rsid w:val="638F7AFC"/>
    <w:rsid w:val="639215D8"/>
    <w:rsid w:val="639B4C77"/>
    <w:rsid w:val="63A36BE5"/>
    <w:rsid w:val="63AC4359"/>
    <w:rsid w:val="63C04B8A"/>
    <w:rsid w:val="63CD32CA"/>
    <w:rsid w:val="63D42229"/>
    <w:rsid w:val="63D8474D"/>
    <w:rsid w:val="63DB746A"/>
    <w:rsid w:val="63DF4869"/>
    <w:rsid w:val="63E5033D"/>
    <w:rsid w:val="63EE162B"/>
    <w:rsid w:val="63F75B8A"/>
    <w:rsid w:val="64003199"/>
    <w:rsid w:val="640310C7"/>
    <w:rsid w:val="64155C8D"/>
    <w:rsid w:val="641B0760"/>
    <w:rsid w:val="641E1DE4"/>
    <w:rsid w:val="64203CB4"/>
    <w:rsid w:val="64222857"/>
    <w:rsid w:val="64335EB1"/>
    <w:rsid w:val="64383A64"/>
    <w:rsid w:val="64433CD0"/>
    <w:rsid w:val="64455B95"/>
    <w:rsid w:val="64495F72"/>
    <w:rsid w:val="644B25BC"/>
    <w:rsid w:val="64546A26"/>
    <w:rsid w:val="645A76FE"/>
    <w:rsid w:val="647F6D16"/>
    <w:rsid w:val="6498217B"/>
    <w:rsid w:val="6498304F"/>
    <w:rsid w:val="64987FF4"/>
    <w:rsid w:val="64D0513C"/>
    <w:rsid w:val="64DD517A"/>
    <w:rsid w:val="64EB1866"/>
    <w:rsid w:val="64EB2E2F"/>
    <w:rsid w:val="64F702F2"/>
    <w:rsid w:val="65046BCA"/>
    <w:rsid w:val="651424EE"/>
    <w:rsid w:val="651E67EB"/>
    <w:rsid w:val="65257BC1"/>
    <w:rsid w:val="65287A29"/>
    <w:rsid w:val="65490238"/>
    <w:rsid w:val="65537EF9"/>
    <w:rsid w:val="65593C2E"/>
    <w:rsid w:val="655E1155"/>
    <w:rsid w:val="655F4773"/>
    <w:rsid w:val="65636455"/>
    <w:rsid w:val="6590252A"/>
    <w:rsid w:val="65904230"/>
    <w:rsid w:val="65A240BE"/>
    <w:rsid w:val="65A273A9"/>
    <w:rsid w:val="65AE5114"/>
    <w:rsid w:val="65B61DD9"/>
    <w:rsid w:val="65BB5075"/>
    <w:rsid w:val="65C42F33"/>
    <w:rsid w:val="65C76D0B"/>
    <w:rsid w:val="65CB5A52"/>
    <w:rsid w:val="65D23BC4"/>
    <w:rsid w:val="65D969F1"/>
    <w:rsid w:val="65DF7832"/>
    <w:rsid w:val="66222BC0"/>
    <w:rsid w:val="662861DC"/>
    <w:rsid w:val="66286B79"/>
    <w:rsid w:val="66306F43"/>
    <w:rsid w:val="66326E97"/>
    <w:rsid w:val="66363F02"/>
    <w:rsid w:val="663F4723"/>
    <w:rsid w:val="664615E7"/>
    <w:rsid w:val="665242EE"/>
    <w:rsid w:val="665265F4"/>
    <w:rsid w:val="6666302E"/>
    <w:rsid w:val="666F0E5A"/>
    <w:rsid w:val="667322A4"/>
    <w:rsid w:val="668F06DD"/>
    <w:rsid w:val="66943E18"/>
    <w:rsid w:val="6699652A"/>
    <w:rsid w:val="66A93110"/>
    <w:rsid w:val="66AC664F"/>
    <w:rsid w:val="66AF2B2C"/>
    <w:rsid w:val="66D14104"/>
    <w:rsid w:val="66DC3EF7"/>
    <w:rsid w:val="66DE561C"/>
    <w:rsid w:val="66F0190D"/>
    <w:rsid w:val="67064E16"/>
    <w:rsid w:val="672833FF"/>
    <w:rsid w:val="673100D9"/>
    <w:rsid w:val="6731395C"/>
    <w:rsid w:val="67421678"/>
    <w:rsid w:val="67447CAA"/>
    <w:rsid w:val="67603184"/>
    <w:rsid w:val="67615909"/>
    <w:rsid w:val="676569B0"/>
    <w:rsid w:val="676818B7"/>
    <w:rsid w:val="676B6D11"/>
    <w:rsid w:val="676E53AF"/>
    <w:rsid w:val="6772565E"/>
    <w:rsid w:val="677D4E65"/>
    <w:rsid w:val="678A1A6C"/>
    <w:rsid w:val="679C72E6"/>
    <w:rsid w:val="679D7D9D"/>
    <w:rsid w:val="67A16316"/>
    <w:rsid w:val="67B52945"/>
    <w:rsid w:val="67B84A87"/>
    <w:rsid w:val="67C03310"/>
    <w:rsid w:val="67C25449"/>
    <w:rsid w:val="67D5396B"/>
    <w:rsid w:val="67DD018E"/>
    <w:rsid w:val="67DE5B6F"/>
    <w:rsid w:val="67E24A58"/>
    <w:rsid w:val="67E84BC2"/>
    <w:rsid w:val="67E967D4"/>
    <w:rsid w:val="67EA1DE2"/>
    <w:rsid w:val="67F51F5D"/>
    <w:rsid w:val="680E0310"/>
    <w:rsid w:val="681C0F9C"/>
    <w:rsid w:val="68280A59"/>
    <w:rsid w:val="68397A86"/>
    <w:rsid w:val="685448E5"/>
    <w:rsid w:val="68567ADB"/>
    <w:rsid w:val="685A52F7"/>
    <w:rsid w:val="686301D2"/>
    <w:rsid w:val="686F32ED"/>
    <w:rsid w:val="68763CFB"/>
    <w:rsid w:val="68775B46"/>
    <w:rsid w:val="688C2914"/>
    <w:rsid w:val="68AB1911"/>
    <w:rsid w:val="68AC7864"/>
    <w:rsid w:val="68BD141F"/>
    <w:rsid w:val="68C2312F"/>
    <w:rsid w:val="68CC74D0"/>
    <w:rsid w:val="68D53366"/>
    <w:rsid w:val="68DD058C"/>
    <w:rsid w:val="68E84B74"/>
    <w:rsid w:val="68F97892"/>
    <w:rsid w:val="690300E6"/>
    <w:rsid w:val="691318F3"/>
    <w:rsid w:val="691F004A"/>
    <w:rsid w:val="692563EE"/>
    <w:rsid w:val="692D6BB4"/>
    <w:rsid w:val="693D18C5"/>
    <w:rsid w:val="69456602"/>
    <w:rsid w:val="69471F8B"/>
    <w:rsid w:val="69656FD3"/>
    <w:rsid w:val="6965727E"/>
    <w:rsid w:val="69785369"/>
    <w:rsid w:val="69BF2D66"/>
    <w:rsid w:val="69C22990"/>
    <w:rsid w:val="69C62E9A"/>
    <w:rsid w:val="69D9569F"/>
    <w:rsid w:val="69F076EC"/>
    <w:rsid w:val="69FC71B3"/>
    <w:rsid w:val="6A046C7D"/>
    <w:rsid w:val="6A0C4C59"/>
    <w:rsid w:val="6A0C7811"/>
    <w:rsid w:val="6A0E0287"/>
    <w:rsid w:val="6A0E500E"/>
    <w:rsid w:val="6A0E77F1"/>
    <w:rsid w:val="6A19339F"/>
    <w:rsid w:val="6A3001E9"/>
    <w:rsid w:val="6A342EDC"/>
    <w:rsid w:val="6A55161C"/>
    <w:rsid w:val="6A65568E"/>
    <w:rsid w:val="6A6E67DD"/>
    <w:rsid w:val="6A8213EE"/>
    <w:rsid w:val="6A9553FE"/>
    <w:rsid w:val="6AB8631A"/>
    <w:rsid w:val="6AC30E38"/>
    <w:rsid w:val="6ADB66AC"/>
    <w:rsid w:val="6ADD74FD"/>
    <w:rsid w:val="6B204A1A"/>
    <w:rsid w:val="6B254070"/>
    <w:rsid w:val="6B3816B9"/>
    <w:rsid w:val="6B457FC6"/>
    <w:rsid w:val="6B570F9E"/>
    <w:rsid w:val="6B704D44"/>
    <w:rsid w:val="6B7A4A17"/>
    <w:rsid w:val="6B7F1BF6"/>
    <w:rsid w:val="6B9512FD"/>
    <w:rsid w:val="6BA7070C"/>
    <w:rsid w:val="6BB554FE"/>
    <w:rsid w:val="6BB56A5C"/>
    <w:rsid w:val="6BB87BB7"/>
    <w:rsid w:val="6BC12EDC"/>
    <w:rsid w:val="6BE255D8"/>
    <w:rsid w:val="6BE76A97"/>
    <w:rsid w:val="6BF056A3"/>
    <w:rsid w:val="6BF43FAF"/>
    <w:rsid w:val="6BFB78C8"/>
    <w:rsid w:val="6C110991"/>
    <w:rsid w:val="6C1363EA"/>
    <w:rsid w:val="6C1F175D"/>
    <w:rsid w:val="6C386C1D"/>
    <w:rsid w:val="6C3E480C"/>
    <w:rsid w:val="6C4471AC"/>
    <w:rsid w:val="6C4A348A"/>
    <w:rsid w:val="6C4A4478"/>
    <w:rsid w:val="6C5002D5"/>
    <w:rsid w:val="6C523F43"/>
    <w:rsid w:val="6C64734B"/>
    <w:rsid w:val="6C777224"/>
    <w:rsid w:val="6C7C0FBC"/>
    <w:rsid w:val="6C83219C"/>
    <w:rsid w:val="6C833B41"/>
    <w:rsid w:val="6C97436A"/>
    <w:rsid w:val="6C9803A4"/>
    <w:rsid w:val="6CD323B8"/>
    <w:rsid w:val="6CDD7CF5"/>
    <w:rsid w:val="6CE71ED8"/>
    <w:rsid w:val="6CF33107"/>
    <w:rsid w:val="6CF57B18"/>
    <w:rsid w:val="6CFC0F53"/>
    <w:rsid w:val="6CFC3ED1"/>
    <w:rsid w:val="6D164F86"/>
    <w:rsid w:val="6D243939"/>
    <w:rsid w:val="6D3125B4"/>
    <w:rsid w:val="6D351FB7"/>
    <w:rsid w:val="6D36200B"/>
    <w:rsid w:val="6D390ED7"/>
    <w:rsid w:val="6D447778"/>
    <w:rsid w:val="6D4A5F2F"/>
    <w:rsid w:val="6D620170"/>
    <w:rsid w:val="6D6D3796"/>
    <w:rsid w:val="6D777E6B"/>
    <w:rsid w:val="6D7A3305"/>
    <w:rsid w:val="6D84645E"/>
    <w:rsid w:val="6D8F437E"/>
    <w:rsid w:val="6D990245"/>
    <w:rsid w:val="6D997573"/>
    <w:rsid w:val="6DA026C8"/>
    <w:rsid w:val="6DA5760F"/>
    <w:rsid w:val="6DAD31F1"/>
    <w:rsid w:val="6DB46943"/>
    <w:rsid w:val="6DB56D43"/>
    <w:rsid w:val="6DB62F23"/>
    <w:rsid w:val="6DC62455"/>
    <w:rsid w:val="6DED42F9"/>
    <w:rsid w:val="6E035FBA"/>
    <w:rsid w:val="6E123F60"/>
    <w:rsid w:val="6E162FAB"/>
    <w:rsid w:val="6E1E4715"/>
    <w:rsid w:val="6E297170"/>
    <w:rsid w:val="6E5231A4"/>
    <w:rsid w:val="6E5A40EE"/>
    <w:rsid w:val="6E671D27"/>
    <w:rsid w:val="6E6E6B53"/>
    <w:rsid w:val="6E7D48F4"/>
    <w:rsid w:val="6E8A64FD"/>
    <w:rsid w:val="6E9C16AF"/>
    <w:rsid w:val="6E9D390D"/>
    <w:rsid w:val="6EB76C30"/>
    <w:rsid w:val="6EB97BB5"/>
    <w:rsid w:val="6ECE49D4"/>
    <w:rsid w:val="6ED72B2B"/>
    <w:rsid w:val="6ED9046A"/>
    <w:rsid w:val="6EE10B05"/>
    <w:rsid w:val="6EEB713E"/>
    <w:rsid w:val="6EF115F9"/>
    <w:rsid w:val="6F0472BB"/>
    <w:rsid w:val="6F062965"/>
    <w:rsid w:val="6F0D763F"/>
    <w:rsid w:val="6F17348E"/>
    <w:rsid w:val="6F206808"/>
    <w:rsid w:val="6F2E0C37"/>
    <w:rsid w:val="6F45301C"/>
    <w:rsid w:val="6F474B62"/>
    <w:rsid w:val="6F537CC8"/>
    <w:rsid w:val="6F54013B"/>
    <w:rsid w:val="6F5B3B07"/>
    <w:rsid w:val="6F6000F3"/>
    <w:rsid w:val="6F7A7501"/>
    <w:rsid w:val="6FAB7D95"/>
    <w:rsid w:val="6FAD23B4"/>
    <w:rsid w:val="6FAD5E72"/>
    <w:rsid w:val="6FBD7D61"/>
    <w:rsid w:val="6FC403D9"/>
    <w:rsid w:val="6FC42EAB"/>
    <w:rsid w:val="6FD101F3"/>
    <w:rsid w:val="6FDC5C4D"/>
    <w:rsid w:val="6FE54803"/>
    <w:rsid w:val="6FE54985"/>
    <w:rsid w:val="6FE60FC7"/>
    <w:rsid w:val="6FE856E7"/>
    <w:rsid w:val="6FEC7554"/>
    <w:rsid w:val="6FF1283A"/>
    <w:rsid w:val="6FF4469C"/>
    <w:rsid w:val="6FF70359"/>
    <w:rsid w:val="6FF77C50"/>
    <w:rsid w:val="6FF90C4A"/>
    <w:rsid w:val="702C7A97"/>
    <w:rsid w:val="70563262"/>
    <w:rsid w:val="705873A3"/>
    <w:rsid w:val="706630F4"/>
    <w:rsid w:val="709910D5"/>
    <w:rsid w:val="709B4AFB"/>
    <w:rsid w:val="70C15D8C"/>
    <w:rsid w:val="70D216D3"/>
    <w:rsid w:val="70F659AE"/>
    <w:rsid w:val="71010D74"/>
    <w:rsid w:val="710F7DD8"/>
    <w:rsid w:val="711F373C"/>
    <w:rsid w:val="71534AAE"/>
    <w:rsid w:val="716C54B9"/>
    <w:rsid w:val="717C638C"/>
    <w:rsid w:val="719B216D"/>
    <w:rsid w:val="71A40936"/>
    <w:rsid w:val="71B752EE"/>
    <w:rsid w:val="71C66F16"/>
    <w:rsid w:val="71DB12A7"/>
    <w:rsid w:val="71DE0262"/>
    <w:rsid w:val="72106F1F"/>
    <w:rsid w:val="7211200F"/>
    <w:rsid w:val="722D57C7"/>
    <w:rsid w:val="724062B5"/>
    <w:rsid w:val="724A0704"/>
    <w:rsid w:val="724F46F0"/>
    <w:rsid w:val="7255143F"/>
    <w:rsid w:val="72630696"/>
    <w:rsid w:val="726436E6"/>
    <w:rsid w:val="72651885"/>
    <w:rsid w:val="72700C83"/>
    <w:rsid w:val="727870BC"/>
    <w:rsid w:val="727E6483"/>
    <w:rsid w:val="728453D5"/>
    <w:rsid w:val="72916007"/>
    <w:rsid w:val="72935827"/>
    <w:rsid w:val="729937A7"/>
    <w:rsid w:val="729B6C7B"/>
    <w:rsid w:val="729B79DD"/>
    <w:rsid w:val="72A96531"/>
    <w:rsid w:val="72B6163B"/>
    <w:rsid w:val="72BB1BA7"/>
    <w:rsid w:val="72D051AC"/>
    <w:rsid w:val="72D05F60"/>
    <w:rsid w:val="72ED426C"/>
    <w:rsid w:val="72F91A90"/>
    <w:rsid w:val="730313CC"/>
    <w:rsid w:val="73035041"/>
    <w:rsid w:val="73073B1B"/>
    <w:rsid w:val="730E33D2"/>
    <w:rsid w:val="731C314C"/>
    <w:rsid w:val="732927A3"/>
    <w:rsid w:val="73303587"/>
    <w:rsid w:val="73323045"/>
    <w:rsid w:val="73427202"/>
    <w:rsid w:val="734333B2"/>
    <w:rsid w:val="73473252"/>
    <w:rsid w:val="734B5436"/>
    <w:rsid w:val="73637990"/>
    <w:rsid w:val="73663A61"/>
    <w:rsid w:val="73671066"/>
    <w:rsid w:val="736F68EF"/>
    <w:rsid w:val="73812244"/>
    <w:rsid w:val="73861C37"/>
    <w:rsid w:val="739D6139"/>
    <w:rsid w:val="739E743E"/>
    <w:rsid w:val="73B02110"/>
    <w:rsid w:val="73CD7F8D"/>
    <w:rsid w:val="73CE0E30"/>
    <w:rsid w:val="73F95D4E"/>
    <w:rsid w:val="74044161"/>
    <w:rsid w:val="74194164"/>
    <w:rsid w:val="741C0ACA"/>
    <w:rsid w:val="741C2B81"/>
    <w:rsid w:val="742D6B25"/>
    <w:rsid w:val="742D7EA2"/>
    <w:rsid w:val="744446C4"/>
    <w:rsid w:val="74524A6C"/>
    <w:rsid w:val="745D46B6"/>
    <w:rsid w:val="747E2170"/>
    <w:rsid w:val="749850D8"/>
    <w:rsid w:val="74994FF2"/>
    <w:rsid w:val="74A93ADB"/>
    <w:rsid w:val="74AB764B"/>
    <w:rsid w:val="74AF159D"/>
    <w:rsid w:val="74B94C23"/>
    <w:rsid w:val="74BA0C6B"/>
    <w:rsid w:val="74BB501E"/>
    <w:rsid w:val="74C03BE2"/>
    <w:rsid w:val="74EE31EA"/>
    <w:rsid w:val="74FA202A"/>
    <w:rsid w:val="74FA2880"/>
    <w:rsid w:val="75046088"/>
    <w:rsid w:val="75225CBF"/>
    <w:rsid w:val="7534240C"/>
    <w:rsid w:val="75350693"/>
    <w:rsid w:val="75371C19"/>
    <w:rsid w:val="7546677D"/>
    <w:rsid w:val="7548684B"/>
    <w:rsid w:val="754B2AC0"/>
    <w:rsid w:val="754D466C"/>
    <w:rsid w:val="754F4CC4"/>
    <w:rsid w:val="755C32D8"/>
    <w:rsid w:val="756E0B0A"/>
    <w:rsid w:val="757031D9"/>
    <w:rsid w:val="75750081"/>
    <w:rsid w:val="757C314C"/>
    <w:rsid w:val="75814167"/>
    <w:rsid w:val="75842DFC"/>
    <w:rsid w:val="759E72E5"/>
    <w:rsid w:val="75A667A1"/>
    <w:rsid w:val="75AB1086"/>
    <w:rsid w:val="75B9416A"/>
    <w:rsid w:val="75BE0722"/>
    <w:rsid w:val="75C07FC8"/>
    <w:rsid w:val="75C247F2"/>
    <w:rsid w:val="75CD7BB5"/>
    <w:rsid w:val="761C72F5"/>
    <w:rsid w:val="763255D2"/>
    <w:rsid w:val="76437D02"/>
    <w:rsid w:val="764B0BC9"/>
    <w:rsid w:val="764F1267"/>
    <w:rsid w:val="765120A6"/>
    <w:rsid w:val="766279A2"/>
    <w:rsid w:val="766D5F57"/>
    <w:rsid w:val="76752AAE"/>
    <w:rsid w:val="767F05D4"/>
    <w:rsid w:val="76807564"/>
    <w:rsid w:val="76B0479B"/>
    <w:rsid w:val="76BD6FDB"/>
    <w:rsid w:val="76BF7D3D"/>
    <w:rsid w:val="76C52AEB"/>
    <w:rsid w:val="76D264D4"/>
    <w:rsid w:val="76D33F40"/>
    <w:rsid w:val="76E955C3"/>
    <w:rsid w:val="76F94659"/>
    <w:rsid w:val="76FD43AC"/>
    <w:rsid w:val="77073F57"/>
    <w:rsid w:val="77091725"/>
    <w:rsid w:val="77123ACC"/>
    <w:rsid w:val="77181A42"/>
    <w:rsid w:val="771E16D3"/>
    <w:rsid w:val="77247924"/>
    <w:rsid w:val="772B1B20"/>
    <w:rsid w:val="773B78A9"/>
    <w:rsid w:val="77510935"/>
    <w:rsid w:val="775846FD"/>
    <w:rsid w:val="775F45E6"/>
    <w:rsid w:val="77634F3B"/>
    <w:rsid w:val="777C6115"/>
    <w:rsid w:val="777F4D61"/>
    <w:rsid w:val="7793189B"/>
    <w:rsid w:val="77C522CE"/>
    <w:rsid w:val="77D36332"/>
    <w:rsid w:val="77D47475"/>
    <w:rsid w:val="77D547E3"/>
    <w:rsid w:val="77D558AA"/>
    <w:rsid w:val="77D62A56"/>
    <w:rsid w:val="77E62733"/>
    <w:rsid w:val="77ED4572"/>
    <w:rsid w:val="77F84B71"/>
    <w:rsid w:val="780E1955"/>
    <w:rsid w:val="78293DC3"/>
    <w:rsid w:val="782D2D9B"/>
    <w:rsid w:val="78333364"/>
    <w:rsid w:val="783A6B2F"/>
    <w:rsid w:val="783F4F70"/>
    <w:rsid w:val="78553BB8"/>
    <w:rsid w:val="785B4C20"/>
    <w:rsid w:val="785D218D"/>
    <w:rsid w:val="78755E1D"/>
    <w:rsid w:val="78AB4E34"/>
    <w:rsid w:val="78B8567C"/>
    <w:rsid w:val="78BD7F9F"/>
    <w:rsid w:val="78DD2859"/>
    <w:rsid w:val="78F7615B"/>
    <w:rsid w:val="78FD2962"/>
    <w:rsid w:val="79175EB6"/>
    <w:rsid w:val="79307089"/>
    <w:rsid w:val="79373219"/>
    <w:rsid w:val="794A4288"/>
    <w:rsid w:val="794C7980"/>
    <w:rsid w:val="7954036F"/>
    <w:rsid w:val="7963139E"/>
    <w:rsid w:val="7981755F"/>
    <w:rsid w:val="79822FDC"/>
    <w:rsid w:val="798B23A6"/>
    <w:rsid w:val="79981FE8"/>
    <w:rsid w:val="79A86542"/>
    <w:rsid w:val="79BE5E62"/>
    <w:rsid w:val="79BF626C"/>
    <w:rsid w:val="79D00261"/>
    <w:rsid w:val="79D72059"/>
    <w:rsid w:val="79E652F3"/>
    <w:rsid w:val="79EC33C3"/>
    <w:rsid w:val="79F67F8F"/>
    <w:rsid w:val="7A107C8F"/>
    <w:rsid w:val="7A1C1793"/>
    <w:rsid w:val="7A1C4DC7"/>
    <w:rsid w:val="7A2769D9"/>
    <w:rsid w:val="7A2E73B3"/>
    <w:rsid w:val="7A3A078E"/>
    <w:rsid w:val="7A45124E"/>
    <w:rsid w:val="7A47525B"/>
    <w:rsid w:val="7A4C7BCA"/>
    <w:rsid w:val="7A5955C8"/>
    <w:rsid w:val="7A7051EE"/>
    <w:rsid w:val="7A7F307F"/>
    <w:rsid w:val="7A850292"/>
    <w:rsid w:val="7A864059"/>
    <w:rsid w:val="7A8759F4"/>
    <w:rsid w:val="7A991285"/>
    <w:rsid w:val="7AAC03BC"/>
    <w:rsid w:val="7AB2157C"/>
    <w:rsid w:val="7AB64A22"/>
    <w:rsid w:val="7AC15EF1"/>
    <w:rsid w:val="7AC179AB"/>
    <w:rsid w:val="7AC25CC5"/>
    <w:rsid w:val="7AC528C4"/>
    <w:rsid w:val="7ACB2084"/>
    <w:rsid w:val="7ACE4545"/>
    <w:rsid w:val="7AD42E32"/>
    <w:rsid w:val="7ADD23D2"/>
    <w:rsid w:val="7AE04623"/>
    <w:rsid w:val="7AE80992"/>
    <w:rsid w:val="7AE9752E"/>
    <w:rsid w:val="7AEC1055"/>
    <w:rsid w:val="7AEF52E1"/>
    <w:rsid w:val="7AF51135"/>
    <w:rsid w:val="7AFE078F"/>
    <w:rsid w:val="7B0320BB"/>
    <w:rsid w:val="7B1E76B6"/>
    <w:rsid w:val="7B5204F9"/>
    <w:rsid w:val="7B5E2383"/>
    <w:rsid w:val="7B6E3852"/>
    <w:rsid w:val="7B745405"/>
    <w:rsid w:val="7B780677"/>
    <w:rsid w:val="7B911201"/>
    <w:rsid w:val="7B985F55"/>
    <w:rsid w:val="7B9C23E8"/>
    <w:rsid w:val="7BAE3A12"/>
    <w:rsid w:val="7BCB44ED"/>
    <w:rsid w:val="7BCD7043"/>
    <w:rsid w:val="7BDA2B39"/>
    <w:rsid w:val="7BDF7110"/>
    <w:rsid w:val="7C0815E0"/>
    <w:rsid w:val="7C274E7E"/>
    <w:rsid w:val="7C280E42"/>
    <w:rsid w:val="7C7F4F3C"/>
    <w:rsid w:val="7C9B44B6"/>
    <w:rsid w:val="7C9C55B4"/>
    <w:rsid w:val="7CA544A2"/>
    <w:rsid w:val="7CAD59A1"/>
    <w:rsid w:val="7CB347D7"/>
    <w:rsid w:val="7CCD67D7"/>
    <w:rsid w:val="7CE07511"/>
    <w:rsid w:val="7CE21673"/>
    <w:rsid w:val="7CE2570E"/>
    <w:rsid w:val="7CF45745"/>
    <w:rsid w:val="7D276660"/>
    <w:rsid w:val="7D295F33"/>
    <w:rsid w:val="7D393FED"/>
    <w:rsid w:val="7D4033FD"/>
    <w:rsid w:val="7D4D307B"/>
    <w:rsid w:val="7D4D5856"/>
    <w:rsid w:val="7D537A55"/>
    <w:rsid w:val="7D540062"/>
    <w:rsid w:val="7D583911"/>
    <w:rsid w:val="7D737A9C"/>
    <w:rsid w:val="7D826F26"/>
    <w:rsid w:val="7D933791"/>
    <w:rsid w:val="7D967F99"/>
    <w:rsid w:val="7DAA16F6"/>
    <w:rsid w:val="7DB61C4E"/>
    <w:rsid w:val="7DD040B2"/>
    <w:rsid w:val="7DDA79B6"/>
    <w:rsid w:val="7DE14EF9"/>
    <w:rsid w:val="7DED63B1"/>
    <w:rsid w:val="7DF0751D"/>
    <w:rsid w:val="7E0E51B0"/>
    <w:rsid w:val="7E183EEA"/>
    <w:rsid w:val="7E440B2B"/>
    <w:rsid w:val="7E4A22B2"/>
    <w:rsid w:val="7E4F61B6"/>
    <w:rsid w:val="7E6752B6"/>
    <w:rsid w:val="7E694F72"/>
    <w:rsid w:val="7E717A7B"/>
    <w:rsid w:val="7E77254B"/>
    <w:rsid w:val="7E80292D"/>
    <w:rsid w:val="7E805FD1"/>
    <w:rsid w:val="7E84382C"/>
    <w:rsid w:val="7E855AE7"/>
    <w:rsid w:val="7E9B065D"/>
    <w:rsid w:val="7E9D718F"/>
    <w:rsid w:val="7EA7411B"/>
    <w:rsid w:val="7EA874D5"/>
    <w:rsid w:val="7EAA0221"/>
    <w:rsid w:val="7EB02A3C"/>
    <w:rsid w:val="7EB714C1"/>
    <w:rsid w:val="7EB835B8"/>
    <w:rsid w:val="7EC301BA"/>
    <w:rsid w:val="7ED326C7"/>
    <w:rsid w:val="7EFB70B7"/>
    <w:rsid w:val="7F0A6F2E"/>
    <w:rsid w:val="7F21551C"/>
    <w:rsid w:val="7F234D02"/>
    <w:rsid w:val="7F251450"/>
    <w:rsid w:val="7F381A47"/>
    <w:rsid w:val="7F3932D6"/>
    <w:rsid w:val="7F3B3199"/>
    <w:rsid w:val="7F3D07F6"/>
    <w:rsid w:val="7F4D23DA"/>
    <w:rsid w:val="7F5458D0"/>
    <w:rsid w:val="7F613C7E"/>
    <w:rsid w:val="7F63160A"/>
    <w:rsid w:val="7F65557D"/>
    <w:rsid w:val="7F666046"/>
    <w:rsid w:val="7F827F3A"/>
    <w:rsid w:val="7F886A6A"/>
    <w:rsid w:val="7F912BF1"/>
    <w:rsid w:val="7FA4150B"/>
    <w:rsid w:val="7FA51D95"/>
    <w:rsid w:val="7FCC65E5"/>
    <w:rsid w:val="7FD25345"/>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List Paragraph Char"/>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overflowPunct/>
      <w:autoSpaceDE/>
      <w:autoSpaceDN/>
      <w:adjustRightInd/>
      <w:spacing w:after="0"/>
      <w:ind w:left="567" w:hanging="283"/>
      <w:textAlignment w:val="auto"/>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2025-05-09T13:03:23Z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